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0CE" w:rsidRPr="00770BAD" w:rsidRDefault="003B6586" w:rsidP="00460D19">
      <w:pPr>
        <w:jc w:val="center"/>
      </w:pPr>
      <w:r w:rsidRPr="00770BAD">
        <w:rPr>
          <w:noProof/>
          <w:sz w:val="20"/>
          <w:lang w:eastAsia="pl-PL"/>
        </w:rPr>
        <w:drawing>
          <wp:inline distT="0" distB="0" distL="0" distR="0">
            <wp:extent cx="3726180" cy="899160"/>
            <wp:effectExtent l="0" t="0" r="0" b="0"/>
            <wp:docPr id="1" name="Obraz 10" descr="http://www.powiatlidzbarski.pl/img/hea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http://www.powiatlidzbarski.pl/img/header_logo.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26180" cy="899160"/>
                    </a:xfrm>
                    <a:prstGeom prst="rect">
                      <a:avLst/>
                    </a:prstGeom>
                    <a:noFill/>
                    <a:ln>
                      <a:noFill/>
                    </a:ln>
                  </pic:spPr>
                </pic:pic>
              </a:graphicData>
            </a:graphic>
          </wp:inline>
        </w:drawing>
      </w:r>
    </w:p>
    <w:p w:rsidR="009E00CE" w:rsidRPr="00770BAD" w:rsidRDefault="009E00CE" w:rsidP="009756E2">
      <w:pPr>
        <w:jc w:val="center"/>
      </w:pPr>
    </w:p>
    <w:p w:rsidR="009E00CE" w:rsidRPr="00770BAD" w:rsidRDefault="009E00CE" w:rsidP="009E00CE"/>
    <w:p w:rsidR="00DD63AD" w:rsidRPr="00E217F5" w:rsidRDefault="00DD63AD" w:rsidP="00DD63AD">
      <w:pPr>
        <w:spacing w:after="0"/>
        <w:jc w:val="right"/>
        <w:rPr>
          <w:rFonts w:ascii="Times New Roman" w:hAnsi="Times New Roman"/>
        </w:rPr>
      </w:pPr>
      <w:r w:rsidRPr="00E217F5">
        <w:rPr>
          <w:rFonts w:ascii="Times New Roman" w:hAnsi="Times New Roman"/>
        </w:rPr>
        <w:t>Załącznik</w:t>
      </w:r>
    </w:p>
    <w:p w:rsidR="00DD63AD" w:rsidRPr="00E217F5" w:rsidRDefault="00DD63AD" w:rsidP="00DD63AD">
      <w:pPr>
        <w:spacing w:after="0"/>
        <w:jc w:val="right"/>
        <w:rPr>
          <w:rFonts w:ascii="Times New Roman" w:hAnsi="Times New Roman"/>
        </w:rPr>
      </w:pPr>
      <w:r w:rsidRPr="00E217F5">
        <w:rPr>
          <w:rFonts w:ascii="Times New Roman" w:hAnsi="Times New Roman"/>
        </w:rPr>
        <w:t>do uchwały Nr</w:t>
      </w:r>
      <w:r w:rsidR="00420489">
        <w:rPr>
          <w:rFonts w:ascii="Times New Roman" w:hAnsi="Times New Roman"/>
        </w:rPr>
        <w:t xml:space="preserve"> OR.0007.170.2022</w:t>
      </w:r>
    </w:p>
    <w:p w:rsidR="00DD63AD" w:rsidRPr="00E217F5" w:rsidRDefault="00DD63AD" w:rsidP="00DD63AD">
      <w:pPr>
        <w:spacing w:after="0"/>
        <w:jc w:val="right"/>
        <w:rPr>
          <w:rFonts w:ascii="Times New Roman" w:hAnsi="Times New Roman"/>
        </w:rPr>
      </w:pPr>
      <w:r w:rsidRPr="00E217F5">
        <w:rPr>
          <w:rFonts w:ascii="Times New Roman" w:hAnsi="Times New Roman"/>
        </w:rPr>
        <w:t>Rady Powiatu Lidzbarskiego</w:t>
      </w:r>
    </w:p>
    <w:p w:rsidR="00460D19" w:rsidRPr="00770BAD" w:rsidRDefault="00DD63AD" w:rsidP="00DD63AD">
      <w:pPr>
        <w:jc w:val="right"/>
      </w:pPr>
      <w:r w:rsidRPr="00E217F5">
        <w:rPr>
          <w:rFonts w:ascii="Times New Roman" w:hAnsi="Times New Roman"/>
        </w:rPr>
        <w:t xml:space="preserve">z dnia 17 lutego 2022 </w:t>
      </w:r>
      <w:proofErr w:type="spellStart"/>
      <w:r w:rsidRPr="00E217F5">
        <w:rPr>
          <w:rFonts w:ascii="Times New Roman" w:hAnsi="Times New Roman"/>
        </w:rPr>
        <w:t>r</w:t>
      </w:r>
      <w:proofErr w:type="spellEnd"/>
    </w:p>
    <w:p w:rsidR="00460D19" w:rsidRPr="00770BAD" w:rsidRDefault="00460D19" w:rsidP="009E00CE"/>
    <w:p w:rsidR="009E00CE" w:rsidRPr="00770BAD" w:rsidRDefault="00770BAD" w:rsidP="00770BAD">
      <w:pPr>
        <w:jc w:val="center"/>
        <w:rPr>
          <w:b/>
          <w:bCs/>
          <w:sz w:val="56"/>
          <w:szCs w:val="52"/>
        </w:rPr>
      </w:pPr>
      <w:r w:rsidRPr="00770BAD">
        <w:rPr>
          <w:b/>
          <w:bCs/>
          <w:sz w:val="56"/>
          <w:szCs w:val="52"/>
        </w:rPr>
        <w:t>Powiatowy Program Przeciwdziałania Przemocy w Rodzinie oraz Ochrony Ofiar Przemocy w Rodzinie na lata 2022-2026</w:t>
      </w:r>
    </w:p>
    <w:p w:rsidR="009E00CE" w:rsidRPr="00770BAD" w:rsidRDefault="009E00CE" w:rsidP="009756E2"/>
    <w:p w:rsidR="009756E2" w:rsidRPr="00770BAD" w:rsidRDefault="009756E2" w:rsidP="009756E2"/>
    <w:p w:rsidR="009756E2" w:rsidRPr="00770BAD" w:rsidRDefault="009756E2" w:rsidP="009756E2"/>
    <w:p w:rsidR="009756E2" w:rsidRPr="00770BAD" w:rsidRDefault="009756E2" w:rsidP="009756E2"/>
    <w:p w:rsidR="009756E2" w:rsidRPr="00770BAD" w:rsidRDefault="009756E2" w:rsidP="00DA360C">
      <w:pPr>
        <w:jc w:val="center"/>
        <w:rPr>
          <w:sz w:val="22"/>
        </w:rPr>
      </w:pPr>
    </w:p>
    <w:p w:rsidR="009756E2" w:rsidRPr="00770BAD" w:rsidRDefault="009756E2" w:rsidP="009756E2"/>
    <w:p w:rsidR="009756E2" w:rsidRPr="00770BAD" w:rsidRDefault="009756E2" w:rsidP="009756E2"/>
    <w:p w:rsidR="009756E2" w:rsidRPr="00770BAD" w:rsidRDefault="009756E2" w:rsidP="009756E2"/>
    <w:p w:rsidR="009756E2" w:rsidRPr="00770BAD" w:rsidRDefault="009756E2" w:rsidP="009756E2"/>
    <w:p w:rsidR="009756E2" w:rsidRPr="00770BAD" w:rsidRDefault="009756E2" w:rsidP="009756E2"/>
    <w:p w:rsidR="009756E2" w:rsidRPr="00770BAD" w:rsidRDefault="009756E2" w:rsidP="009756E2"/>
    <w:p w:rsidR="009756E2" w:rsidRPr="00770BAD" w:rsidRDefault="009756E2" w:rsidP="009756E2"/>
    <w:p w:rsidR="009756E2" w:rsidRPr="00770BAD" w:rsidRDefault="009756E2" w:rsidP="009756E2"/>
    <w:p w:rsidR="009756E2" w:rsidRPr="00770BAD" w:rsidRDefault="009756E2" w:rsidP="009756E2"/>
    <w:p w:rsidR="009756E2" w:rsidRPr="00770BAD" w:rsidRDefault="009756E2" w:rsidP="009756E2"/>
    <w:p w:rsidR="009756E2" w:rsidRPr="00770BAD" w:rsidRDefault="009756E2" w:rsidP="009756E2"/>
    <w:p w:rsidR="009756E2" w:rsidRPr="00770BAD" w:rsidRDefault="00460D19" w:rsidP="009756E2">
      <w:pPr>
        <w:jc w:val="center"/>
        <w:rPr>
          <w:b/>
          <w:sz w:val="28"/>
        </w:rPr>
        <w:sectPr w:rsidR="009756E2" w:rsidRPr="00770BAD" w:rsidSect="009756E2">
          <w:footerReference w:type="default" r:id="rId9"/>
          <w:pgSz w:w="11906" w:h="16838"/>
          <w:pgMar w:top="1417" w:right="1417" w:bottom="1417" w:left="1417" w:header="708" w:footer="708" w:gutter="0"/>
          <w:cols w:space="708"/>
          <w:titlePg/>
          <w:docGrid w:linePitch="360"/>
        </w:sectPr>
      </w:pPr>
      <w:r w:rsidRPr="00770BAD">
        <w:rPr>
          <w:b/>
          <w:sz w:val="28"/>
        </w:rPr>
        <w:t>O</w:t>
      </w:r>
      <w:r w:rsidR="00770BAD">
        <w:rPr>
          <w:b/>
          <w:sz w:val="28"/>
        </w:rPr>
        <w:t>rneta</w:t>
      </w:r>
      <w:r w:rsidR="009756E2" w:rsidRPr="00770BAD">
        <w:rPr>
          <w:b/>
          <w:sz w:val="28"/>
        </w:rPr>
        <w:t xml:space="preserve"> 20</w:t>
      </w:r>
      <w:r w:rsidR="00E1523F">
        <w:rPr>
          <w:b/>
          <w:sz w:val="28"/>
        </w:rPr>
        <w:t>21</w:t>
      </w:r>
    </w:p>
    <w:p w:rsidR="009756E2" w:rsidRPr="000D257D" w:rsidRDefault="009756E2">
      <w:pPr>
        <w:pStyle w:val="Nagwekspisutreci"/>
      </w:pPr>
      <w:r w:rsidRPr="000D257D">
        <w:lastRenderedPageBreak/>
        <w:t>Spis treści</w:t>
      </w:r>
    </w:p>
    <w:p w:rsidR="00F830F6" w:rsidRDefault="00FA2F7E">
      <w:pPr>
        <w:pStyle w:val="Spistreci1"/>
        <w:rPr>
          <w:rFonts w:asciiTheme="minorHAnsi" w:eastAsiaTheme="minorEastAsia" w:hAnsiTheme="minorHAnsi" w:cstheme="minorBidi"/>
          <w:noProof/>
          <w:sz w:val="22"/>
          <w:lang w:eastAsia="pl-PL"/>
        </w:rPr>
      </w:pPr>
      <w:r w:rsidRPr="00FA2F7E">
        <w:rPr>
          <w:highlight w:val="yellow"/>
        </w:rPr>
        <w:fldChar w:fldCharType="begin"/>
      </w:r>
      <w:r w:rsidR="009756E2" w:rsidRPr="00770BAD">
        <w:rPr>
          <w:highlight w:val="yellow"/>
        </w:rPr>
        <w:instrText xml:space="preserve"> TOC \o "1-3" \h \z \u </w:instrText>
      </w:r>
      <w:r w:rsidRPr="00FA2F7E">
        <w:rPr>
          <w:highlight w:val="yellow"/>
        </w:rPr>
        <w:fldChar w:fldCharType="separate"/>
      </w:r>
      <w:hyperlink w:anchor="_Toc86158826" w:history="1">
        <w:r w:rsidR="00F830F6" w:rsidRPr="00D43C38">
          <w:rPr>
            <w:rStyle w:val="Hipercze"/>
            <w:noProof/>
          </w:rPr>
          <w:t>Wstęp</w:t>
        </w:r>
        <w:r w:rsidR="00F830F6">
          <w:rPr>
            <w:noProof/>
            <w:webHidden/>
          </w:rPr>
          <w:tab/>
        </w:r>
        <w:r>
          <w:rPr>
            <w:noProof/>
            <w:webHidden/>
          </w:rPr>
          <w:fldChar w:fldCharType="begin"/>
        </w:r>
        <w:r w:rsidR="00F830F6">
          <w:rPr>
            <w:noProof/>
            <w:webHidden/>
          </w:rPr>
          <w:instrText xml:space="preserve"> PAGEREF _Toc86158826 \h </w:instrText>
        </w:r>
        <w:r>
          <w:rPr>
            <w:noProof/>
            <w:webHidden/>
          </w:rPr>
        </w:r>
        <w:r>
          <w:rPr>
            <w:noProof/>
            <w:webHidden/>
          </w:rPr>
          <w:fldChar w:fldCharType="separate"/>
        </w:r>
        <w:r w:rsidR="003A0BF1">
          <w:rPr>
            <w:noProof/>
            <w:webHidden/>
          </w:rPr>
          <w:t>3</w:t>
        </w:r>
        <w:r>
          <w:rPr>
            <w:noProof/>
            <w:webHidden/>
          </w:rPr>
          <w:fldChar w:fldCharType="end"/>
        </w:r>
      </w:hyperlink>
    </w:p>
    <w:p w:rsidR="00F830F6" w:rsidRDefault="00FA2F7E">
      <w:pPr>
        <w:pStyle w:val="Spistreci1"/>
        <w:tabs>
          <w:tab w:val="left" w:pos="440"/>
        </w:tabs>
        <w:rPr>
          <w:rFonts w:asciiTheme="minorHAnsi" w:eastAsiaTheme="minorEastAsia" w:hAnsiTheme="minorHAnsi" w:cstheme="minorBidi"/>
          <w:noProof/>
          <w:sz w:val="22"/>
          <w:lang w:eastAsia="pl-PL"/>
        </w:rPr>
      </w:pPr>
      <w:hyperlink w:anchor="_Toc86158827" w:history="1">
        <w:r w:rsidR="00F830F6" w:rsidRPr="00D43C38">
          <w:rPr>
            <w:rStyle w:val="Hipercze"/>
            <w:noProof/>
          </w:rPr>
          <w:t>1.</w:t>
        </w:r>
        <w:r w:rsidR="00F830F6">
          <w:rPr>
            <w:rFonts w:asciiTheme="minorHAnsi" w:eastAsiaTheme="minorEastAsia" w:hAnsiTheme="minorHAnsi" w:cstheme="minorBidi"/>
            <w:noProof/>
            <w:sz w:val="22"/>
            <w:lang w:eastAsia="pl-PL"/>
          </w:rPr>
          <w:tab/>
        </w:r>
        <w:r w:rsidR="00F830F6" w:rsidRPr="00D43C38">
          <w:rPr>
            <w:rStyle w:val="Hipercze"/>
            <w:noProof/>
          </w:rPr>
          <w:t>Definicja i specyfika przemocy w rodzinie</w:t>
        </w:r>
        <w:r w:rsidR="00F830F6">
          <w:rPr>
            <w:noProof/>
            <w:webHidden/>
          </w:rPr>
          <w:tab/>
        </w:r>
        <w:r>
          <w:rPr>
            <w:noProof/>
            <w:webHidden/>
          </w:rPr>
          <w:fldChar w:fldCharType="begin"/>
        </w:r>
        <w:r w:rsidR="00F830F6">
          <w:rPr>
            <w:noProof/>
            <w:webHidden/>
          </w:rPr>
          <w:instrText xml:space="preserve"> PAGEREF _Toc86158827 \h </w:instrText>
        </w:r>
        <w:r>
          <w:rPr>
            <w:noProof/>
            <w:webHidden/>
          </w:rPr>
        </w:r>
        <w:r>
          <w:rPr>
            <w:noProof/>
            <w:webHidden/>
          </w:rPr>
          <w:fldChar w:fldCharType="separate"/>
        </w:r>
        <w:r w:rsidR="003A0BF1">
          <w:rPr>
            <w:noProof/>
            <w:webHidden/>
          </w:rPr>
          <w:t>4</w:t>
        </w:r>
        <w:r>
          <w:rPr>
            <w:noProof/>
            <w:webHidden/>
          </w:rPr>
          <w:fldChar w:fldCharType="end"/>
        </w:r>
      </w:hyperlink>
    </w:p>
    <w:p w:rsidR="00F830F6" w:rsidRDefault="00FA2F7E">
      <w:pPr>
        <w:pStyle w:val="Spistreci1"/>
        <w:tabs>
          <w:tab w:val="left" w:pos="440"/>
        </w:tabs>
        <w:rPr>
          <w:rFonts w:asciiTheme="minorHAnsi" w:eastAsiaTheme="minorEastAsia" w:hAnsiTheme="minorHAnsi" w:cstheme="minorBidi"/>
          <w:noProof/>
          <w:sz w:val="22"/>
          <w:lang w:eastAsia="pl-PL"/>
        </w:rPr>
      </w:pPr>
      <w:hyperlink w:anchor="_Toc86158828" w:history="1">
        <w:r w:rsidR="00F830F6" w:rsidRPr="00D43C38">
          <w:rPr>
            <w:rStyle w:val="Hipercze"/>
            <w:noProof/>
          </w:rPr>
          <w:t>2.</w:t>
        </w:r>
        <w:r w:rsidR="00F830F6">
          <w:rPr>
            <w:rFonts w:asciiTheme="minorHAnsi" w:eastAsiaTheme="minorEastAsia" w:hAnsiTheme="minorHAnsi" w:cstheme="minorBidi"/>
            <w:noProof/>
            <w:sz w:val="22"/>
            <w:lang w:eastAsia="pl-PL"/>
          </w:rPr>
          <w:tab/>
        </w:r>
        <w:r w:rsidR="00F830F6" w:rsidRPr="00D43C38">
          <w:rPr>
            <w:rStyle w:val="Hipercze"/>
            <w:noProof/>
          </w:rPr>
          <w:t>Kontekst prawny i strategiczny przeciwdziałania przemocy w rodzinie</w:t>
        </w:r>
        <w:r w:rsidR="00F830F6">
          <w:rPr>
            <w:noProof/>
            <w:webHidden/>
          </w:rPr>
          <w:tab/>
        </w:r>
        <w:r>
          <w:rPr>
            <w:noProof/>
            <w:webHidden/>
          </w:rPr>
          <w:fldChar w:fldCharType="begin"/>
        </w:r>
        <w:r w:rsidR="00F830F6">
          <w:rPr>
            <w:noProof/>
            <w:webHidden/>
          </w:rPr>
          <w:instrText xml:space="preserve"> PAGEREF _Toc86158828 \h </w:instrText>
        </w:r>
        <w:r>
          <w:rPr>
            <w:noProof/>
            <w:webHidden/>
          </w:rPr>
        </w:r>
        <w:r>
          <w:rPr>
            <w:noProof/>
            <w:webHidden/>
          </w:rPr>
          <w:fldChar w:fldCharType="separate"/>
        </w:r>
        <w:r w:rsidR="003A0BF1">
          <w:rPr>
            <w:noProof/>
            <w:webHidden/>
          </w:rPr>
          <w:t>8</w:t>
        </w:r>
        <w:r>
          <w:rPr>
            <w:noProof/>
            <w:webHidden/>
          </w:rPr>
          <w:fldChar w:fldCharType="end"/>
        </w:r>
      </w:hyperlink>
    </w:p>
    <w:p w:rsidR="00F830F6" w:rsidRDefault="00FA2F7E">
      <w:pPr>
        <w:pStyle w:val="Spistreci2"/>
        <w:tabs>
          <w:tab w:val="left" w:pos="880"/>
        </w:tabs>
        <w:rPr>
          <w:rFonts w:asciiTheme="minorHAnsi" w:eastAsiaTheme="minorEastAsia" w:hAnsiTheme="minorHAnsi" w:cstheme="minorBidi"/>
          <w:noProof/>
          <w:sz w:val="22"/>
          <w:lang w:eastAsia="pl-PL"/>
        </w:rPr>
      </w:pPr>
      <w:hyperlink w:anchor="_Toc86158829" w:history="1">
        <w:r w:rsidR="00F830F6" w:rsidRPr="00D43C38">
          <w:rPr>
            <w:rStyle w:val="Hipercze"/>
            <w:noProof/>
          </w:rPr>
          <w:t>2.1.</w:t>
        </w:r>
        <w:r w:rsidR="00F830F6">
          <w:rPr>
            <w:rFonts w:asciiTheme="minorHAnsi" w:eastAsiaTheme="minorEastAsia" w:hAnsiTheme="minorHAnsi" w:cstheme="minorBidi"/>
            <w:noProof/>
            <w:sz w:val="22"/>
            <w:lang w:eastAsia="pl-PL"/>
          </w:rPr>
          <w:tab/>
        </w:r>
        <w:r w:rsidR="00F830F6" w:rsidRPr="00D43C38">
          <w:rPr>
            <w:rStyle w:val="Hipercze"/>
            <w:noProof/>
          </w:rPr>
          <w:t>Uwarunkowania prawne</w:t>
        </w:r>
        <w:r w:rsidR="00F830F6">
          <w:rPr>
            <w:noProof/>
            <w:webHidden/>
          </w:rPr>
          <w:tab/>
        </w:r>
        <w:r>
          <w:rPr>
            <w:noProof/>
            <w:webHidden/>
          </w:rPr>
          <w:fldChar w:fldCharType="begin"/>
        </w:r>
        <w:r w:rsidR="00F830F6">
          <w:rPr>
            <w:noProof/>
            <w:webHidden/>
          </w:rPr>
          <w:instrText xml:space="preserve"> PAGEREF _Toc86158829 \h </w:instrText>
        </w:r>
        <w:r>
          <w:rPr>
            <w:noProof/>
            <w:webHidden/>
          </w:rPr>
        </w:r>
        <w:r>
          <w:rPr>
            <w:noProof/>
            <w:webHidden/>
          </w:rPr>
          <w:fldChar w:fldCharType="separate"/>
        </w:r>
        <w:r w:rsidR="003A0BF1">
          <w:rPr>
            <w:noProof/>
            <w:webHidden/>
          </w:rPr>
          <w:t>8</w:t>
        </w:r>
        <w:r>
          <w:rPr>
            <w:noProof/>
            <w:webHidden/>
          </w:rPr>
          <w:fldChar w:fldCharType="end"/>
        </w:r>
      </w:hyperlink>
    </w:p>
    <w:p w:rsidR="00F830F6" w:rsidRDefault="00FA2F7E">
      <w:pPr>
        <w:pStyle w:val="Spistreci2"/>
        <w:tabs>
          <w:tab w:val="left" w:pos="880"/>
        </w:tabs>
        <w:rPr>
          <w:rFonts w:asciiTheme="minorHAnsi" w:eastAsiaTheme="minorEastAsia" w:hAnsiTheme="minorHAnsi" w:cstheme="minorBidi"/>
          <w:noProof/>
          <w:sz w:val="22"/>
          <w:lang w:eastAsia="pl-PL"/>
        </w:rPr>
      </w:pPr>
      <w:hyperlink w:anchor="_Toc86158830" w:history="1">
        <w:r w:rsidR="00F830F6" w:rsidRPr="00D43C38">
          <w:rPr>
            <w:rStyle w:val="Hipercze"/>
            <w:noProof/>
          </w:rPr>
          <w:t>2.2.</w:t>
        </w:r>
        <w:r w:rsidR="00F830F6">
          <w:rPr>
            <w:rFonts w:asciiTheme="minorHAnsi" w:eastAsiaTheme="minorEastAsia" w:hAnsiTheme="minorHAnsi" w:cstheme="minorBidi"/>
            <w:noProof/>
            <w:sz w:val="22"/>
            <w:lang w:eastAsia="pl-PL"/>
          </w:rPr>
          <w:tab/>
        </w:r>
        <w:r w:rsidR="00F830F6" w:rsidRPr="00D43C38">
          <w:rPr>
            <w:rStyle w:val="Hipercze"/>
            <w:noProof/>
          </w:rPr>
          <w:t>Zgodność z dokumentami strategicznymi i programowymi</w:t>
        </w:r>
        <w:r w:rsidR="00F830F6">
          <w:rPr>
            <w:noProof/>
            <w:webHidden/>
          </w:rPr>
          <w:tab/>
        </w:r>
        <w:r>
          <w:rPr>
            <w:noProof/>
            <w:webHidden/>
          </w:rPr>
          <w:fldChar w:fldCharType="begin"/>
        </w:r>
        <w:r w:rsidR="00F830F6">
          <w:rPr>
            <w:noProof/>
            <w:webHidden/>
          </w:rPr>
          <w:instrText xml:space="preserve"> PAGEREF _Toc86158830 \h </w:instrText>
        </w:r>
        <w:r>
          <w:rPr>
            <w:noProof/>
            <w:webHidden/>
          </w:rPr>
        </w:r>
        <w:r>
          <w:rPr>
            <w:noProof/>
            <w:webHidden/>
          </w:rPr>
          <w:fldChar w:fldCharType="separate"/>
        </w:r>
        <w:r w:rsidR="003A0BF1">
          <w:rPr>
            <w:noProof/>
            <w:webHidden/>
          </w:rPr>
          <w:t>9</w:t>
        </w:r>
        <w:r>
          <w:rPr>
            <w:noProof/>
            <w:webHidden/>
          </w:rPr>
          <w:fldChar w:fldCharType="end"/>
        </w:r>
      </w:hyperlink>
    </w:p>
    <w:p w:rsidR="00F830F6" w:rsidRDefault="00FA2F7E">
      <w:pPr>
        <w:pStyle w:val="Spistreci1"/>
        <w:tabs>
          <w:tab w:val="left" w:pos="440"/>
        </w:tabs>
        <w:rPr>
          <w:rFonts w:asciiTheme="minorHAnsi" w:eastAsiaTheme="minorEastAsia" w:hAnsiTheme="minorHAnsi" w:cstheme="minorBidi"/>
          <w:noProof/>
          <w:sz w:val="22"/>
          <w:lang w:eastAsia="pl-PL"/>
        </w:rPr>
      </w:pPr>
      <w:hyperlink w:anchor="_Toc86158831" w:history="1">
        <w:r w:rsidR="00F830F6" w:rsidRPr="00D43C38">
          <w:rPr>
            <w:rStyle w:val="Hipercze"/>
            <w:noProof/>
          </w:rPr>
          <w:t>3.</w:t>
        </w:r>
        <w:r w:rsidR="00F830F6">
          <w:rPr>
            <w:rFonts w:asciiTheme="minorHAnsi" w:eastAsiaTheme="minorEastAsia" w:hAnsiTheme="minorHAnsi" w:cstheme="minorBidi"/>
            <w:noProof/>
            <w:sz w:val="22"/>
            <w:lang w:eastAsia="pl-PL"/>
          </w:rPr>
          <w:tab/>
        </w:r>
        <w:r w:rsidR="00F830F6" w:rsidRPr="00D43C38">
          <w:rPr>
            <w:rStyle w:val="Hipercze"/>
            <w:noProof/>
          </w:rPr>
          <w:t>Diagnoza zjawiska przemocy w rodzinie w powiecie lidzbarskim</w:t>
        </w:r>
        <w:r w:rsidR="00F830F6">
          <w:rPr>
            <w:noProof/>
            <w:webHidden/>
          </w:rPr>
          <w:tab/>
        </w:r>
        <w:r>
          <w:rPr>
            <w:noProof/>
            <w:webHidden/>
          </w:rPr>
          <w:fldChar w:fldCharType="begin"/>
        </w:r>
        <w:r w:rsidR="00F830F6">
          <w:rPr>
            <w:noProof/>
            <w:webHidden/>
          </w:rPr>
          <w:instrText xml:space="preserve"> PAGEREF _Toc86158831 \h </w:instrText>
        </w:r>
        <w:r>
          <w:rPr>
            <w:noProof/>
            <w:webHidden/>
          </w:rPr>
        </w:r>
        <w:r>
          <w:rPr>
            <w:noProof/>
            <w:webHidden/>
          </w:rPr>
          <w:fldChar w:fldCharType="separate"/>
        </w:r>
        <w:r w:rsidR="003A0BF1">
          <w:rPr>
            <w:noProof/>
            <w:webHidden/>
          </w:rPr>
          <w:t>11</w:t>
        </w:r>
        <w:r>
          <w:rPr>
            <w:noProof/>
            <w:webHidden/>
          </w:rPr>
          <w:fldChar w:fldCharType="end"/>
        </w:r>
      </w:hyperlink>
    </w:p>
    <w:p w:rsidR="00F830F6" w:rsidRDefault="00FA2F7E">
      <w:pPr>
        <w:pStyle w:val="Spistreci2"/>
        <w:tabs>
          <w:tab w:val="left" w:pos="880"/>
        </w:tabs>
        <w:rPr>
          <w:rFonts w:asciiTheme="minorHAnsi" w:eastAsiaTheme="minorEastAsia" w:hAnsiTheme="minorHAnsi" w:cstheme="minorBidi"/>
          <w:noProof/>
          <w:sz w:val="22"/>
          <w:lang w:eastAsia="pl-PL"/>
        </w:rPr>
      </w:pPr>
      <w:hyperlink w:anchor="_Toc86158832" w:history="1">
        <w:r w:rsidR="00F830F6" w:rsidRPr="00D43C38">
          <w:rPr>
            <w:rStyle w:val="Hipercze"/>
            <w:noProof/>
          </w:rPr>
          <w:t>3.1.</w:t>
        </w:r>
        <w:r w:rsidR="00F830F6">
          <w:rPr>
            <w:rFonts w:asciiTheme="minorHAnsi" w:eastAsiaTheme="minorEastAsia" w:hAnsiTheme="minorHAnsi" w:cstheme="minorBidi"/>
            <w:noProof/>
            <w:sz w:val="22"/>
            <w:lang w:eastAsia="pl-PL"/>
          </w:rPr>
          <w:tab/>
        </w:r>
        <w:r w:rsidR="00F830F6" w:rsidRPr="00D43C38">
          <w:rPr>
            <w:rStyle w:val="Hipercze"/>
            <w:noProof/>
          </w:rPr>
          <w:t>Ogólna sytuacja społeczna w powiecie</w:t>
        </w:r>
        <w:r w:rsidR="00F830F6">
          <w:rPr>
            <w:noProof/>
            <w:webHidden/>
          </w:rPr>
          <w:tab/>
        </w:r>
        <w:r>
          <w:rPr>
            <w:noProof/>
            <w:webHidden/>
          </w:rPr>
          <w:fldChar w:fldCharType="begin"/>
        </w:r>
        <w:r w:rsidR="00F830F6">
          <w:rPr>
            <w:noProof/>
            <w:webHidden/>
          </w:rPr>
          <w:instrText xml:space="preserve"> PAGEREF _Toc86158832 \h </w:instrText>
        </w:r>
        <w:r>
          <w:rPr>
            <w:noProof/>
            <w:webHidden/>
          </w:rPr>
        </w:r>
        <w:r>
          <w:rPr>
            <w:noProof/>
            <w:webHidden/>
          </w:rPr>
          <w:fldChar w:fldCharType="separate"/>
        </w:r>
        <w:r w:rsidR="003A0BF1">
          <w:rPr>
            <w:noProof/>
            <w:webHidden/>
          </w:rPr>
          <w:t>11</w:t>
        </w:r>
        <w:r>
          <w:rPr>
            <w:noProof/>
            <w:webHidden/>
          </w:rPr>
          <w:fldChar w:fldCharType="end"/>
        </w:r>
      </w:hyperlink>
    </w:p>
    <w:p w:rsidR="00F830F6" w:rsidRDefault="00FA2F7E">
      <w:pPr>
        <w:pStyle w:val="Spistreci2"/>
        <w:tabs>
          <w:tab w:val="left" w:pos="880"/>
        </w:tabs>
        <w:rPr>
          <w:rFonts w:asciiTheme="minorHAnsi" w:eastAsiaTheme="minorEastAsia" w:hAnsiTheme="minorHAnsi" w:cstheme="minorBidi"/>
          <w:noProof/>
          <w:sz w:val="22"/>
          <w:lang w:eastAsia="pl-PL"/>
        </w:rPr>
      </w:pPr>
      <w:hyperlink w:anchor="_Toc86158833" w:history="1">
        <w:r w:rsidR="00F830F6" w:rsidRPr="00D43C38">
          <w:rPr>
            <w:rStyle w:val="Hipercze"/>
            <w:noProof/>
          </w:rPr>
          <w:t>3.2.</w:t>
        </w:r>
        <w:r w:rsidR="00F830F6">
          <w:rPr>
            <w:rFonts w:asciiTheme="minorHAnsi" w:eastAsiaTheme="minorEastAsia" w:hAnsiTheme="minorHAnsi" w:cstheme="minorBidi"/>
            <w:noProof/>
            <w:sz w:val="22"/>
            <w:lang w:eastAsia="pl-PL"/>
          </w:rPr>
          <w:tab/>
        </w:r>
        <w:r w:rsidR="00F830F6" w:rsidRPr="00D43C38">
          <w:rPr>
            <w:rStyle w:val="Hipercze"/>
            <w:noProof/>
          </w:rPr>
          <w:t>Skala zjawiska przemocy w rodzinie</w:t>
        </w:r>
        <w:r w:rsidR="00F830F6">
          <w:rPr>
            <w:noProof/>
            <w:webHidden/>
          </w:rPr>
          <w:tab/>
        </w:r>
        <w:r>
          <w:rPr>
            <w:noProof/>
            <w:webHidden/>
          </w:rPr>
          <w:fldChar w:fldCharType="begin"/>
        </w:r>
        <w:r w:rsidR="00F830F6">
          <w:rPr>
            <w:noProof/>
            <w:webHidden/>
          </w:rPr>
          <w:instrText xml:space="preserve"> PAGEREF _Toc86158833 \h </w:instrText>
        </w:r>
        <w:r>
          <w:rPr>
            <w:noProof/>
            <w:webHidden/>
          </w:rPr>
        </w:r>
        <w:r>
          <w:rPr>
            <w:noProof/>
            <w:webHidden/>
          </w:rPr>
          <w:fldChar w:fldCharType="separate"/>
        </w:r>
        <w:r w:rsidR="003A0BF1">
          <w:rPr>
            <w:noProof/>
            <w:webHidden/>
          </w:rPr>
          <w:t>12</w:t>
        </w:r>
        <w:r>
          <w:rPr>
            <w:noProof/>
            <w:webHidden/>
          </w:rPr>
          <w:fldChar w:fldCharType="end"/>
        </w:r>
      </w:hyperlink>
    </w:p>
    <w:p w:rsidR="00F830F6" w:rsidRDefault="00FA2F7E">
      <w:pPr>
        <w:pStyle w:val="Spistreci1"/>
        <w:tabs>
          <w:tab w:val="left" w:pos="440"/>
        </w:tabs>
        <w:rPr>
          <w:rFonts w:asciiTheme="minorHAnsi" w:eastAsiaTheme="minorEastAsia" w:hAnsiTheme="minorHAnsi" w:cstheme="minorBidi"/>
          <w:noProof/>
          <w:sz w:val="22"/>
          <w:lang w:eastAsia="pl-PL"/>
        </w:rPr>
      </w:pPr>
      <w:hyperlink w:anchor="_Toc86158834" w:history="1">
        <w:r w:rsidR="00F830F6" w:rsidRPr="00D43C38">
          <w:rPr>
            <w:rStyle w:val="Hipercze"/>
            <w:noProof/>
          </w:rPr>
          <w:t>4.</w:t>
        </w:r>
        <w:r w:rsidR="00F830F6">
          <w:rPr>
            <w:rFonts w:asciiTheme="minorHAnsi" w:eastAsiaTheme="minorEastAsia" w:hAnsiTheme="minorHAnsi" w:cstheme="minorBidi"/>
            <w:noProof/>
            <w:sz w:val="22"/>
            <w:lang w:eastAsia="pl-PL"/>
          </w:rPr>
          <w:tab/>
        </w:r>
        <w:r w:rsidR="00F830F6" w:rsidRPr="00D43C38">
          <w:rPr>
            <w:rStyle w:val="Hipercze"/>
            <w:noProof/>
          </w:rPr>
          <w:t>Adresaci i realizatorzy Programu</w:t>
        </w:r>
        <w:r w:rsidR="00F830F6">
          <w:rPr>
            <w:noProof/>
            <w:webHidden/>
          </w:rPr>
          <w:tab/>
        </w:r>
        <w:r>
          <w:rPr>
            <w:noProof/>
            <w:webHidden/>
          </w:rPr>
          <w:fldChar w:fldCharType="begin"/>
        </w:r>
        <w:r w:rsidR="00F830F6">
          <w:rPr>
            <w:noProof/>
            <w:webHidden/>
          </w:rPr>
          <w:instrText xml:space="preserve"> PAGEREF _Toc86158834 \h </w:instrText>
        </w:r>
        <w:r>
          <w:rPr>
            <w:noProof/>
            <w:webHidden/>
          </w:rPr>
        </w:r>
        <w:r>
          <w:rPr>
            <w:noProof/>
            <w:webHidden/>
          </w:rPr>
          <w:fldChar w:fldCharType="separate"/>
        </w:r>
        <w:r w:rsidR="003A0BF1">
          <w:rPr>
            <w:noProof/>
            <w:webHidden/>
          </w:rPr>
          <w:t>16</w:t>
        </w:r>
        <w:r>
          <w:rPr>
            <w:noProof/>
            <w:webHidden/>
          </w:rPr>
          <w:fldChar w:fldCharType="end"/>
        </w:r>
      </w:hyperlink>
    </w:p>
    <w:p w:rsidR="00F830F6" w:rsidRDefault="00FA2F7E">
      <w:pPr>
        <w:pStyle w:val="Spistreci1"/>
        <w:tabs>
          <w:tab w:val="left" w:pos="440"/>
        </w:tabs>
        <w:rPr>
          <w:rFonts w:asciiTheme="minorHAnsi" w:eastAsiaTheme="minorEastAsia" w:hAnsiTheme="minorHAnsi" w:cstheme="minorBidi"/>
          <w:noProof/>
          <w:sz w:val="22"/>
          <w:lang w:eastAsia="pl-PL"/>
        </w:rPr>
      </w:pPr>
      <w:hyperlink w:anchor="_Toc86158835" w:history="1">
        <w:r w:rsidR="00F830F6" w:rsidRPr="00D43C38">
          <w:rPr>
            <w:rStyle w:val="Hipercze"/>
            <w:rFonts w:cs="Calibri"/>
            <w:noProof/>
          </w:rPr>
          <w:t>5.</w:t>
        </w:r>
        <w:r w:rsidR="00F830F6">
          <w:rPr>
            <w:rFonts w:asciiTheme="minorHAnsi" w:eastAsiaTheme="minorEastAsia" w:hAnsiTheme="minorHAnsi" w:cstheme="minorBidi"/>
            <w:noProof/>
            <w:sz w:val="22"/>
            <w:lang w:eastAsia="pl-PL"/>
          </w:rPr>
          <w:tab/>
        </w:r>
        <w:r w:rsidR="00F830F6" w:rsidRPr="00D43C38">
          <w:rPr>
            <w:rStyle w:val="Hipercze"/>
            <w:noProof/>
          </w:rPr>
          <w:t>Cele, kierunki i oczekiwane rezultaty Programu</w:t>
        </w:r>
        <w:r w:rsidR="00F830F6">
          <w:rPr>
            <w:noProof/>
            <w:webHidden/>
          </w:rPr>
          <w:tab/>
        </w:r>
        <w:r>
          <w:rPr>
            <w:noProof/>
            <w:webHidden/>
          </w:rPr>
          <w:fldChar w:fldCharType="begin"/>
        </w:r>
        <w:r w:rsidR="00F830F6">
          <w:rPr>
            <w:noProof/>
            <w:webHidden/>
          </w:rPr>
          <w:instrText xml:space="preserve"> PAGEREF _Toc86158835 \h </w:instrText>
        </w:r>
        <w:r>
          <w:rPr>
            <w:noProof/>
            <w:webHidden/>
          </w:rPr>
        </w:r>
        <w:r>
          <w:rPr>
            <w:noProof/>
            <w:webHidden/>
          </w:rPr>
          <w:fldChar w:fldCharType="separate"/>
        </w:r>
        <w:r w:rsidR="003A0BF1">
          <w:rPr>
            <w:noProof/>
            <w:webHidden/>
          </w:rPr>
          <w:t>17</w:t>
        </w:r>
        <w:r>
          <w:rPr>
            <w:noProof/>
            <w:webHidden/>
          </w:rPr>
          <w:fldChar w:fldCharType="end"/>
        </w:r>
      </w:hyperlink>
    </w:p>
    <w:p w:rsidR="00F830F6" w:rsidRDefault="00FA2F7E">
      <w:pPr>
        <w:pStyle w:val="Spistreci1"/>
        <w:tabs>
          <w:tab w:val="left" w:pos="440"/>
        </w:tabs>
        <w:rPr>
          <w:rFonts w:asciiTheme="minorHAnsi" w:eastAsiaTheme="minorEastAsia" w:hAnsiTheme="minorHAnsi" w:cstheme="minorBidi"/>
          <w:noProof/>
          <w:sz w:val="22"/>
          <w:lang w:eastAsia="pl-PL"/>
        </w:rPr>
      </w:pPr>
      <w:hyperlink w:anchor="_Toc86158836" w:history="1">
        <w:r w:rsidR="00F830F6" w:rsidRPr="00D43C38">
          <w:rPr>
            <w:rStyle w:val="Hipercze"/>
            <w:noProof/>
          </w:rPr>
          <w:t>6.</w:t>
        </w:r>
        <w:r w:rsidR="00F830F6">
          <w:rPr>
            <w:rFonts w:asciiTheme="minorHAnsi" w:eastAsiaTheme="minorEastAsia" w:hAnsiTheme="minorHAnsi" w:cstheme="minorBidi"/>
            <w:noProof/>
            <w:sz w:val="22"/>
            <w:lang w:eastAsia="pl-PL"/>
          </w:rPr>
          <w:tab/>
        </w:r>
        <w:r w:rsidR="00F830F6" w:rsidRPr="00D43C38">
          <w:rPr>
            <w:rStyle w:val="Hipercze"/>
            <w:noProof/>
          </w:rPr>
          <w:t>Monitoring Programu</w:t>
        </w:r>
        <w:r w:rsidR="00F830F6">
          <w:rPr>
            <w:noProof/>
            <w:webHidden/>
          </w:rPr>
          <w:tab/>
        </w:r>
        <w:r>
          <w:rPr>
            <w:noProof/>
            <w:webHidden/>
          </w:rPr>
          <w:fldChar w:fldCharType="begin"/>
        </w:r>
        <w:r w:rsidR="00F830F6">
          <w:rPr>
            <w:noProof/>
            <w:webHidden/>
          </w:rPr>
          <w:instrText xml:space="preserve"> PAGEREF _Toc86158836 \h </w:instrText>
        </w:r>
        <w:r>
          <w:rPr>
            <w:noProof/>
            <w:webHidden/>
          </w:rPr>
        </w:r>
        <w:r>
          <w:rPr>
            <w:noProof/>
            <w:webHidden/>
          </w:rPr>
          <w:fldChar w:fldCharType="separate"/>
        </w:r>
        <w:r w:rsidR="003A0BF1">
          <w:rPr>
            <w:noProof/>
            <w:webHidden/>
          </w:rPr>
          <w:t>20</w:t>
        </w:r>
        <w:r>
          <w:rPr>
            <w:noProof/>
            <w:webHidden/>
          </w:rPr>
          <w:fldChar w:fldCharType="end"/>
        </w:r>
      </w:hyperlink>
    </w:p>
    <w:p w:rsidR="00F830F6" w:rsidRDefault="00FA2F7E">
      <w:pPr>
        <w:pStyle w:val="Spistreci1"/>
        <w:tabs>
          <w:tab w:val="left" w:pos="440"/>
        </w:tabs>
        <w:rPr>
          <w:rFonts w:asciiTheme="minorHAnsi" w:eastAsiaTheme="minorEastAsia" w:hAnsiTheme="minorHAnsi" w:cstheme="minorBidi"/>
          <w:noProof/>
          <w:sz w:val="22"/>
          <w:lang w:eastAsia="pl-PL"/>
        </w:rPr>
      </w:pPr>
      <w:hyperlink w:anchor="_Toc86158837" w:history="1">
        <w:r w:rsidR="00F830F6" w:rsidRPr="00D43C38">
          <w:rPr>
            <w:rStyle w:val="Hipercze"/>
            <w:noProof/>
          </w:rPr>
          <w:t>7.</w:t>
        </w:r>
        <w:r w:rsidR="00F830F6">
          <w:rPr>
            <w:rFonts w:asciiTheme="minorHAnsi" w:eastAsiaTheme="minorEastAsia" w:hAnsiTheme="minorHAnsi" w:cstheme="minorBidi"/>
            <w:noProof/>
            <w:sz w:val="22"/>
            <w:lang w:eastAsia="pl-PL"/>
          </w:rPr>
          <w:tab/>
        </w:r>
        <w:r w:rsidR="00F830F6" w:rsidRPr="00D43C38">
          <w:rPr>
            <w:rStyle w:val="Hipercze"/>
            <w:noProof/>
          </w:rPr>
          <w:t>Źródła finansowania</w:t>
        </w:r>
        <w:r w:rsidR="00F830F6">
          <w:rPr>
            <w:noProof/>
            <w:webHidden/>
          </w:rPr>
          <w:tab/>
        </w:r>
        <w:r>
          <w:rPr>
            <w:noProof/>
            <w:webHidden/>
          </w:rPr>
          <w:fldChar w:fldCharType="begin"/>
        </w:r>
        <w:r w:rsidR="00F830F6">
          <w:rPr>
            <w:noProof/>
            <w:webHidden/>
          </w:rPr>
          <w:instrText xml:space="preserve"> PAGEREF _Toc86158837 \h </w:instrText>
        </w:r>
        <w:r>
          <w:rPr>
            <w:noProof/>
            <w:webHidden/>
          </w:rPr>
        </w:r>
        <w:r>
          <w:rPr>
            <w:noProof/>
            <w:webHidden/>
          </w:rPr>
          <w:fldChar w:fldCharType="separate"/>
        </w:r>
        <w:r w:rsidR="003A0BF1">
          <w:rPr>
            <w:noProof/>
            <w:webHidden/>
          </w:rPr>
          <w:t>21</w:t>
        </w:r>
        <w:r>
          <w:rPr>
            <w:noProof/>
            <w:webHidden/>
          </w:rPr>
          <w:fldChar w:fldCharType="end"/>
        </w:r>
      </w:hyperlink>
    </w:p>
    <w:p w:rsidR="009756E2" w:rsidRPr="00770BAD" w:rsidRDefault="00FA2F7E">
      <w:pPr>
        <w:rPr>
          <w:highlight w:val="yellow"/>
        </w:rPr>
      </w:pPr>
      <w:r w:rsidRPr="00770BAD">
        <w:rPr>
          <w:b/>
          <w:bCs/>
          <w:highlight w:val="yellow"/>
        </w:rPr>
        <w:fldChar w:fldCharType="end"/>
      </w:r>
    </w:p>
    <w:p w:rsidR="00E235E3" w:rsidRPr="00936640" w:rsidRDefault="009756E2" w:rsidP="00266365">
      <w:pPr>
        <w:pStyle w:val="Nagwek1"/>
      </w:pPr>
      <w:r w:rsidRPr="00770BAD">
        <w:rPr>
          <w:highlight w:val="yellow"/>
        </w:rPr>
        <w:br w:type="page"/>
      </w:r>
      <w:bookmarkStart w:id="0" w:name="_Toc86158826"/>
      <w:r w:rsidR="00E235E3" w:rsidRPr="00936640">
        <w:lastRenderedPageBreak/>
        <w:t>W</w:t>
      </w:r>
      <w:r w:rsidR="00936640">
        <w:t>stęp</w:t>
      </w:r>
      <w:bookmarkEnd w:id="0"/>
    </w:p>
    <w:p w:rsidR="00936640" w:rsidRPr="000408FD" w:rsidRDefault="00936640" w:rsidP="00936640">
      <w:pPr>
        <w:rPr>
          <w:iCs/>
        </w:rPr>
      </w:pPr>
      <w:r w:rsidRPr="00936640">
        <w:rPr>
          <w:i/>
          <w:iCs/>
        </w:rPr>
        <w:t xml:space="preserve">Powiatowy Program Przeciwdziałania Przemocy w Rodzinie oraz Ochrony Ofiar Przemocy </w:t>
      </w:r>
      <w:r w:rsidR="00F830F6">
        <w:rPr>
          <w:i/>
          <w:iCs/>
        </w:rPr>
        <w:br/>
      </w:r>
      <w:r w:rsidRPr="00936640">
        <w:rPr>
          <w:i/>
          <w:iCs/>
        </w:rPr>
        <w:t>w Rodzinie na lata 2022-2026</w:t>
      </w:r>
      <w:r w:rsidR="000408FD">
        <w:rPr>
          <w:i/>
          <w:iCs/>
        </w:rPr>
        <w:t xml:space="preserve"> </w:t>
      </w:r>
      <w:r w:rsidRPr="006F0875">
        <w:t xml:space="preserve">został opracowany, aby zwiększyć efektywność wysiłków podejmowanych przez lokalne służby społeczne w obszarze przeciwdziałania przemocy </w:t>
      </w:r>
      <w:r w:rsidR="00F830F6">
        <w:br/>
      </w:r>
      <w:r w:rsidRPr="006F0875">
        <w:t>i ochrony jej ofiar. Jest to szczególnie ważne w obecnej sytuacji, charakteryzującej się</w:t>
      </w:r>
      <w:r w:rsidRPr="006F0875">
        <w:rPr>
          <w:iCs/>
        </w:rPr>
        <w:t xml:space="preserve"> dużą niepewnością dotyczącą procesów społecznych i gospodarczych w Polsce i na świecie.</w:t>
      </w:r>
      <w:r w:rsidR="000408FD">
        <w:rPr>
          <w:iCs/>
        </w:rPr>
        <w:t xml:space="preserve">                       </w:t>
      </w:r>
      <w:r w:rsidRPr="006F0875">
        <w:rPr>
          <w:iCs/>
        </w:rPr>
        <w:t xml:space="preserve">Rok 2021 to drugi rok trwania epidemii SARS-coV-2 (czyli tzw. koronawirusa). Związane z nim ograniczenia oraz izolacja społeczna poważnie wpłynęły na funkcjonowanie zarówno jednostek samorządu terytorialnego, jak i całego społeczeństwa. W </w:t>
      </w:r>
      <w:r w:rsidR="003F49CF">
        <w:rPr>
          <w:iCs/>
        </w:rPr>
        <w:t>aspekcie</w:t>
      </w:r>
      <w:r w:rsidRPr="006F0875">
        <w:rPr>
          <w:iCs/>
        </w:rPr>
        <w:t xml:space="preserve"> mieszkańców </w:t>
      </w:r>
      <w:r w:rsidR="00F830F6">
        <w:rPr>
          <w:iCs/>
        </w:rPr>
        <w:br/>
      </w:r>
      <w:r w:rsidRPr="006F0875">
        <w:rPr>
          <w:iCs/>
        </w:rPr>
        <w:t xml:space="preserve">i ich rodzin należy mieć na uwadze z jednej strony zmiany sytuacji socjalno-bytowej </w:t>
      </w:r>
      <w:r w:rsidR="00F830F6">
        <w:rPr>
          <w:iCs/>
        </w:rPr>
        <w:br/>
      </w:r>
      <w:r w:rsidRPr="006F0875">
        <w:rPr>
          <w:iCs/>
        </w:rPr>
        <w:t>i ekonomicznej, a z drugiej możliwe nasilenie problemów i dysfunkcji związanych z relacjami, komunikacją interpersonalną, a także zagrożenie uzależnieniami oraz przemocą.</w:t>
      </w:r>
    </w:p>
    <w:p w:rsidR="00936640" w:rsidRPr="006F0875" w:rsidRDefault="00936640" w:rsidP="00936640">
      <w:pPr>
        <w:rPr>
          <w:iCs/>
        </w:rPr>
      </w:pPr>
      <w:r w:rsidRPr="006F0875">
        <w:rPr>
          <w:iCs/>
        </w:rPr>
        <w:t xml:space="preserve">Trudno dziś prognozować, jakie będą długoterminowe konsekwencje zarówno samej epidemii, jak i związanej z nią izolacji społecznej oraz zmian sytuacji społeczno-ekonomicznej środowisk rodzinnych. Praca zdalna i nauka </w:t>
      </w:r>
      <w:proofErr w:type="spellStart"/>
      <w:r w:rsidRPr="006F0875">
        <w:rPr>
          <w:iCs/>
        </w:rPr>
        <w:t>online</w:t>
      </w:r>
      <w:proofErr w:type="spellEnd"/>
      <w:r w:rsidRPr="006F0875">
        <w:rPr>
          <w:iCs/>
        </w:rPr>
        <w:t xml:space="preserve"> spowodowały, że rodziny zostały zmuszone do funkcjonowania ze sobą praktycznie całą dobę, a osoby samotne zostały odizolowane od reszty społeczeństwa. Rekomendacje dotyczące ograniczenia bezpośrednich kontaktów z dalszą rodziną, sąsiadami, znajomymi, a także zamknięcie miejsc, które sprzyjały tym kontaktom, takich jak restauracje, kina, siłownie, pogłębiły izolację. W wielu środowiskach mogły nasilić się problemy takie jak bezrobocie, bezradność opiekuńczo-wychowawcza, uzależnienia, przemoc i konflikty rodzinne. </w:t>
      </w:r>
      <w:r w:rsidRPr="006F0875">
        <w:rPr>
          <w:bCs/>
        </w:rPr>
        <w:t xml:space="preserve">Należy mieć na uwadze, </w:t>
      </w:r>
      <w:r w:rsidR="000408FD">
        <w:rPr>
          <w:bCs/>
        </w:rPr>
        <w:t xml:space="preserve">                                          </w:t>
      </w:r>
      <w:r w:rsidRPr="006F0875">
        <w:rPr>
          <w:bCs/>
        </w:rPr>
        <w:t>że w najbliższych latach może zwiększyć się liczba rodzin zagrożonych przemocą ze strony własnych członków.</w:t>
      </w:r>
    </w:p>
    <w:p w:rsidR="00936640" w:rsidRPr="006F0875" w:rsidRDefault="00936640" w:rsidP="00936640">
      <w:r w:rsidRPr="006F0875">
        <w:t>Niniejszy dokument s</w:t>
      </w:r>
      <w:r w:rsidRPr="006F0875">
        <w:rPr>
          <w:bCs/>
        </w:rPr>
        <w:t xml:space="preserve">kłada się z dwóch zasadniczych części: diagnozy zjawiska przemocy </w:t>
      </w:r>
      <w:r w:rsidR="00F830F6">
        <w:rPr>
          <w:bCs/>
        </w:rPr>
        <w:br/>
      </w:r>
      <w:r w:rsidRPr="006F0875">
        <w:rPr>
          <w:bCs/>
        </w:rPr>
        <w:t xml:space="preserve">w rodzinie na terenie Powiatu Lidzbarskiego oraz założeń wdrożeniowych </w:t>
      </w:r>
      <w:r w:rsidRPr="006F0875">
        <w:t xml:space="preserve">służących rozwiązywaniu problemu przemocy w rodzinie, </w:t>
      </w:r>
      <w:r w:rsidRPr="006F0875">
        <w:rPr>
          <w:bCs/>
        </w:rPr>
        <w:t>które</w:t>
      </w:r>
      <w:r w:rsidRPr="006F0875">
        <w:t xml:space="preserve"> łączą interdyscyplinarne procedury, metody i narzędzia stosowane na różnych poziomach: profilaktyki, interwencji, terapii </w:t>
      </w:r>
      <w:r w:rsidR="00F830F6">
        <w:br/>
      </w:r>
      <w:r w:rsidRPr="006F0875">
        <w:t xml:space="preserve">i kompensacji. </w:t>
      </w:r>
      <w:r w:rsidRPr="006F0875">
        <w:rPr>
          <w:bCs/>
        </w:rPr>
        <w:t xml:space="preserve">Główne źródło informacji do diagnozy problemu przemocy w rodzinie stanowiły sprawozdania Powiatowego Centrum Pomocy Rodzinie oraz ośrodków pomocy społecznej z terenu powiatu lidzbarskiego. Zasadniczo analiza została przeprowadzona </w:t>
      </w:r>
      <w:r w:rsidR="000408FD">
        <w:rPr>
          <w:bCs/>
        </w:rPr>
        <w:t xml:space="preserve">                  </w:t>
      </w:r>
      <w:r w:rsidRPr="006F0875">
        <w:rPr>
          <w:bCs/>
        </w:rPr>
        <w:t xml:space="preserve">dla przedziału czasowego 2018-2020, z zastrzeżeniem, iż przyjęto zasadę wykorzystywania danych rocznych najbardziej aktualnych na moment opracowywania dokumentu. </w:t>
      </w:r>
    </w:p>
    <w:p w:rsidR="00936640" w:rsidRPr="006F0875" w:rsidRDefault="00936640" w:rsidP="00936640"/>
    <w:p w:rsidR="00936640" w:rsidRPr="006F0875" w:rsidRDefault="006F0875" w:rsidP="006F0875">
      <w:pPr>
        <w:pStyle w:val="Nagwek1"/>
        <w:numPr>
          <w:ilvl w:val="0"/>
          <w:numId w:val="24"/>
        </w:numPr>
        <w:ind w:left="284" w:hanging="284"/>
      </w:pPr>
      <w:r w:rsidRPr="006F0875">
        <w:br w:type="page"/>
      </w:r>
      <w:bookmarkStart w:id="1" w:name="_Toc86158827"/>
      <w:r w:rsidRPr="006F0875">
        <w:lastRenderedPageBreak/>
        <w:t>Definicja i specyfika przemocy w rodzinie</w:t>
      </w:r>
      <w:bookmarkEnd w:id="1"/>
    </w:p>
    <w:p w:rsidR="006F0875" w:rsidRDefault="006F0875" w:rsidP="006F0875">
      <w:pPr>
        <w:rPr>
          <w:bCs/>
        </w:rPr>
      </w:pPr>
      <w:r w:rsidRPr="0014217F">
        <w:rPr>
          <w:bCs/>
        </w:rPr>
        <w:t>Przemoc jest zjawiskiem dość powszechnym we współczesnym świecie. Występuje</w:t>
      </w:r>
      <w:r w:rsidR="0016426A">
        <w:rPr>
          <w:bCs/>
        </w:rPr>
        <w:t xml:space="preserve">                               </w:t>
      </w:r>
      <w:r w:rsidRPr="0014217F">
        <w:rPr>
          <w:bCs/>
        </w:rPr>
        <w:t xml:space="preserve"> w różnych sferach życia, w mediach, w codziennym funkcjonowaniu wielu osób. Potocznie utożsamiana jest z brutalnością, okrucieństwem i przestępczością, częściej kojarzona </w:t>
      </w:r>
      <w:r w:rsidR="0016426A">
        <w:rPr>
          <w:bCs/>
        </w:rPr>
        <w:t xml:space="preserve">                                </w:t>
      </w:r>
      <w:r w:rsidRPr="0014217F">
        <w:rPr>
          <w:bCs/>
        </w:rPr>
        <w:t>z jej fizycznymi przejawami, pozostawiającymi widoczne ślady. Definicje przemocy są różne. Najczęściej wskazuje się na relację między ludźmi, która opiera się na użyciu przeważającej siły, utrudniając tym samym samoobronę osoby pokrzywdzonej. Przemocy nie należy utożsamiać więc z agresją, ponieważ różnią się one asymetrią siły – w przemocy występuje ona zawsze po stronie sprawcy, a w przypadku agresji jest zrównoważona</w:t>
      </w:r>
      <w:r w:rsidRPr="0014217F">
        <w:rPr>
          <w:rStyle w:val="Odwoanieprzypisudolnego"/>
          <w:bCs/>
        </w:rPr>
        <w:footnoteReference w:id="1"/>
      </w:r>
      <w:r w:rsidRPr="0014217F">
        <w:rPr>
          <w:bCs/>
        </w:rPr>
        <w:t>.</w:t>
      </w:r>
    </w:p>
    <w:p w:rsidR="006F0875" w:rsidRPr="0014217F" w:rsidRDefault="006F0875" w:rsidP="006F0875">
      <w:pPr>
        <w:rPr>
          <w:bCs/>
        </w:rPr>
      </w:pPr>
      <w:r w:rsidRPr="0014217F">
        <w:rPr>
          <w:bCs/>
        </w:rPr>
        <w:t xml:space="preserve">Na potrzeby niniejszego dokumentu można przyjąć definicję, w świetle której przemoc definiowana jest jako </w:t>
      </w:r>
      <w:r w:rsidRPr="0014217F">
        <w:t>„</w:t>
      </w:r>
      <w:r w:rsidRPr="0014217F">
        <w:rPr>
          <w:bCs/>
        </w:rPr>
        <w:t>intencjonalne działanie lub zaniechanie jednej osoby wobec drugiej, które wykorzystując przewagę sił narusza prawa i dobra osobiste jednostki, powodując cierpienia i szkody”</w:t>
      </w:r>
      <w:r w:rsidRPr="0014217F">
        <w:rPr>
          <w:rStyle w:val="Odwoanieprzypisudolnego"/>
          <w:bCs/>
        </w:rPr>
        <w:footnoteReference w:id="2"/>
      </w:r>
      <w:r w:rsidRPr="0014217F">
        <w:rPr>
          <w:bCs/>
        </w:rPr>
        <w:t>.</w:t>
      </w:r>
      <w:r w:rsidR="0016426A">
        <w:rPr>
          <w:bCs/>
        </w:rPr>
        <w:t xml:space="preserve"> </w:t>
      </w:r>
      <w:r w:rsidRPr="0014217F">
        <w:rPr>
          <w:bCs/>
        </w:rPr>
        <w:t>Charakteryzuje się ona następującymi cechami:</w:t>
      </w:r>
    </w:p>
    <w:p w:rsidR="006F0875" w:rsidRPr="0014217F" w:rsidRDefault="006F0875" w:rsidP="006F0875">
      <w:pPr>
        <w:numPr>
          <w:ilvl w:val="0"/>
          <w:numId w:val="25"/>
        </w:numPr>
        <w:rPr>
          <w:bCs/>
        </w:rPr>
      </w:pPr>
      <w:r w:rsidRPr="0014217F">
        <w:rPr>
          <w:bCs/>
        </w:rPr>
        <w:t xml:space="preserve">ma charakter intencjonalny, co oznacza, że działania sprawcy są świadome i celowe, służą uzyskaniu kontroli i bezwzględnego posłuszeństwa; </w:t>
      </w:r>
    </w:p>
    <w:p w:rsidR="006F0875" w:rsidRPr="0014217F" w:rsidRDefault="006F0875" w:rsidP="006F0875">
      <w:pPr>
        <w:numPr>
          <w:ilvl w:val="0"/>
          <w:numId w:val="25"/>
        </w:numPr>
        <w:rPr>
          <w:bCs/>
        </w:rPr>
      </w:pPr>
      <w:r w:rsidRPr="0014217F">
        <w:rPr>
          <w:bCs/>
        </w:rPr>
        <w:t xml:space="preserve">jest rodzajem relacji, charakteryzującej się przewagą sprawcy nad ofiarą, przy czym </w:t>
      </w:r>
      <w:r w:rsidR="0016426A">
        <w:rPr>
          <w:bCs/>
        </w:rPr>
        <w:t xml:space="preserve">        </w:t>
      </w:r>
      <w:r w:rsidRPr="0014217F">
        <w:rPr>
          <w:bCs/>
        </w:rPr>
        <w:t xml:space="preserve">ta przewaga może mieć charakter psychiczny, fizyczny, ekonomiczny, społeczny </w:t>
      </w:r>
      <w:r w:rsidR="0016426A">
        <w:rPr>
          <w:bCs/>
        </w:rPr>
        <w:t xml:space="preserve">                     </w:t>
      </w:r>
      <w:r w:rsidRPr="0014217F">
        <w:rPr>
          <w:bCs/>
        </w:rPr>
        <w:t xml:space="preserve">czy kulturowy oraz sprzyja poczuciu bezkarności sprawcy i zarazem bezradności ofiary; </w:t>
      </w:r>
    </w:p>
    <w:p w:rsidR="006F0875" w:rsidRPr="0014217F" w:rsidRDefault="006F0875" w:rsidP="006F0875">
      <w:pPr>
        <w:numPr>
          <w:ilvl w:val="0"/>
          <w:numId w:val="25"/>
        </w:numPr>
        <w:rPr>
          <w:bCs/>
        </w:rPr>
      </w:pPr>
      <w:r w:rsidRPr="0014217F">
        <w:rPr>
          <w:bCs/>
        </w:rPr>
        <w:t>jest relacją, w której sprawca podejmuj</w:t>
      </w:r>
      <w:r w:rsidR="00B413BE">
        <w:rPr>
          <w:bCs/>
        </w:rPr>
        <w:t>ąc działania lub wstrzymując się                              od podejmowania działań na rzecz drugiej osoby</w:t>
      </w:r>
      <w:r w:rsidRPr="0014217F">
        <w:rPr>
          <w:bCs/>
        </w:rPr>
        <w:t xml:space="preserve">, narusza prawa i dobra osobiste ofiary, takie jak prawo do szacunku, ochrony zdrowia czy kontaktów </w:t>
      </w:r>
      <w:r w:rsidRPr="0014217F">
        <w:rPr>
          <w:bCs/>
        </w:rPr>
        <w:br/>
        <w:t>z rodziną;</w:t>
      </w:r>
    </w:p>
    <w:p w:rsidR="006F0875" w:rsidRPr="0014217F" w:rsidRDefault="006F0875" w:rsidP="006F0875">
      <w:pPr>
        <w:numPr>
          <w:ilvl w:val="0"/>
          <w:numId w:val="25"/>
        </w:numPr>
        <w:rPr>
          <w:bCs/>
        </w:rPr>
      </w:pPr>
      <w:r w:rsidRPr="0014217F">
        <w:rPr>
          <w:bCs/>
        </w:rPr>
        <w:t>powoduje szkody fizyczne i psychiczne oraz wywołuje cierpienie u osoby doznającej przemocy.</w:t>
      </w:r>
    </w:p>
    <w:p w:rsidR="006F0875" w:rsidRPr="0014217F" w:rsidRDefault="006F0875" w:rsidP="006F0875">
      <w:pPr>
        <w:rPr>
          <w:bCs/>
        </w:rPr>
      </w:pPr>
      <w:r w:rsidRPr="0014217F">
        <w:rPr>
          <w:bCs/>
        </w:rPr>
        <w:t xml:space="preserve">Szczególny przypadek stanowi przemoc w rodzinie – przede wszystkim z tego względu, </w:t>
      </w:r>
      <w:r w:rsidR="00D740E7">
        <w:rPr>
          <w:bCs/>
        </w:rPr>
        <w:t xml:space="preserve">                           </w:t>
      </w:r>
      <w:r w:rsidRPr="0014217F">
        <w:rPr>
          <w:bCs/>
        </w:rPr>
        <w:t xml:space="preserve">że zachodzi pomiędzy bliskimi sobie osobami, stając się niejednokrotnie elementem </w:t>
      </w:r>
      <w:r w:rsidR="00D740E7">
        <w:rPr>
          <w:bCs/>
        </w:rPr>
        <w:t xml:space="preserve">                                    </w:t>
      </w:r>
      <w:r w:rsidRPr="0014217F">
        <w:rPr>
          <w:bCs/>
        </w:rPr>
        <w:t xml:space="preserve">ich codziennego życia. Definicja ustawowa przemocy w rodzinie została zawarta w art. 2 </w:t>
      </w:r>
      <w:proofErr w:type="spellStart"/>
      <w:r w:rsidRPr="0014217F">
        <w:rPr>
          <w:bCs/>
        </w:rPr>
        <w:t>pkt</w:t>
      </w:r>
      <w:proofErr w:type="spellEnd"/>
      <w:r w:rsidRPr="0014217F">
        <w:rPr>
          <w:bCs/>
        </w:rPr>
        <w:t xml:space="preserve"> 2 </w:t>
      </w:r>
      <w:r w:rsidRPr="0014217F">
        <w:rPr>
          <w:i/>
        </w:rPr>
        <w:t>Ustawy z dnia 29 lipca 2005 r. o przeciwdziałaniu przemocy w rodzinie</w:t>
      </w:r>
      <w:r w:rsidRPr="0014217F">
        <w:t xml:space="preserve"> (tj. </w:t>
      </w:r>
      <w:proofErr w:type="spellStart"/>
      <w:r w:rsidRPr="0014217F">
        <w:t>Dz.U</w:t>
      </w:r>
      <w:proofErr w:type="spellEnd"/>
      <w:r w:rsidRPr="0014217F">
        <w:t>. 2021 poz. 1249). W jej świetle stanowi ona jednorazowe albo powtarzające się umyślne działanie</w:t>
      </w:r>
      <w:r w:rsidR="00D740E7">
        <w:t xml:space="preserve">                   </w:t>
      </w:r>
      <w:r w:rsidRPr="0014217F">
        <w:t xml:space="preserve">lub zaniechanie naruszające prawa lub dobra osobiste członków rodziny (osób najbliższych lub innych wspólnie zamieszkujących lub gospodarujących), w szczególności narażające </w:t>
      </w:r>
      <w:r w:rsidR="004930FB">
        <w:t xml:space="preserve">                                        </w:t>
      </w:r>
      <w:r w:rsidRPr="0014217F">
        <w:t xml:space="preserve">te osoby na niebezpieczeństwo utraty życia, zdrowia, naruszające ich godność, nietykalność cielesną, wolność, w tym seksualną, powodujące szkody na ich zdrowiu fizycznym </w:t>
      </w:r>
      <w:r w:rsidR="004930FB">
        <w:t xml:space="preserve">                                                lub </w:t>
      </w:r>
      <w:r w:rsidRPr="0014217F">
        <w:t>psychicznym, a także wywołujące cierpienia i krzywdy moralne u osób dotkniętych przemocą.</w:t>
      </w:r>
    </w:p>
    <w:p w:rsidR="006F0875" w:rsidRPr="00B74ED3" w:rsidRDefault="006F0875" w:rsidP="006F0875">
      <w:r w:rsidRPr="0014217F">
        <w:t xml:space="preserve">Przemoc w rodzinie można analizować z różnych perspektyw. Z punktu widzenia moralności przemoc jest złem, ponieważ stanowi krzywdzenie słabszego. Główne sankcje w tym przypadku polegają na potępieniu ze strony członków społeczeństwa, a także na sankcjach własnego sumienia sprawcy. Psychologiczny aspekt obejmuje natomiast bezradność </w:t>
      </w:r>
      <w:r w:rsidRPr="0014217F">
        <w:br/>
        <w:t xml:space="preserve">i cierpienie ofiary, a także odsłania mechanizmy wewnętrzne sterujące przemocą i procesy </w:t>
      </w:r>
      <w:r w:rsidRPr="0014217F">
        <w:lastRenderedPageBreak/>
        <w:t xml:space="preserve">interakcji, zachodzące między sprawcą i ofiarą. Perspektywa społeczna wskazuje na obyczaje i postawy, które mogą sprzyjać przemocy lub ją usprawiedliwiać oraz na zaangażowanie sił </w:t>
      </w:r>
      <w:r w:rsidRPr="00B74ED3">
        <w:t>społecznych i wpływ na sprawy publiczne</w:t>
      </w:r>
      <w:r w:rsidRPr="00B74ED3">
        <w:rPr>
          <w:rStyle w:val="Odwoanieprzypisudolnego"/>
        </w:rPr>
        <w:footnoteReference w:id="3"/>
      </w:r>
      <w:r w:rsidRPr="00B74ED3">
        <w:t xml:space="preserve">. </w:t>
      </w:r>
    </w:p>
    <w:p w:rsidR="006F0875" w:rsidRPr="00B74ED3" w:rsidRDefault="006F0875" w:rsidP="006F0875">
      <w:r w:rsidRPr="00B74ED3">
        <w:t xml:space="preserve">Z punktu widzenia prawa, przemoc w rodzinie stanowi przestępstwo. W świetle artykułu 207 </w:t>
      </w:r>
      <w:r w:rsidRPr="00B74ED3">
        <w:rPr>
          <w:i/>
        </w:rPr>
        <w:t>Ustawy z dnia 6 czerwca 1997 r. Kodeks karny</w:t>
      </w:r>
      <w:r w:rsidRPr="00B74ED3">
        <w:t xml:space="preserve"> (</w:t>
      </w:r>
      <w:proofErr w:type="spellStart"/>
      <w:r w:rsidRPr="00B74ED3">
        <w:t>t.j</w:t>
      </w:r>
      <w:proofErr w:type="spellEnd"/>
      <w:r w:rsidRPr="00B74ED3">
        <w:t xml:space="preserve">. Dz. U 2020 poz. 1444 ze zm.) znęcanie </w:t>
      </w:r>
      <w:r w:rsidR="004930FB">
        <w:t xml:space="preserve">                            </w:t>
      </w:r>
      <w:r w:rsidRPr="00B74ED3">
        <w:t xml:space="preserve">się fizycznie lub psychicznie nad osobą najbliższą lub nad inną osobą pozostającą w stałym lub przemijającym stosunku zależności od sprawcy, podlega karze pozbawienia wolności </w:t>
      </w:r>
      <w:r w:rsidR="004930FB">
        <w:t xml:space="preserve">                                   </w:t>
      </w:r>
      <w:r w:rsidRPr="00B74ED3">
        <w:t xml:space="preserve">od 3 miesięcy do lat 5. Jeżeli ofiarą znęcania się jest osoba nieporadna ze względu na jej wiek, stan psychiczny lub fizyczny to wymiar kary wynosi od 6 miesięcy do 8 lat, </w:t>
      </w:r>
      <w:r w:rsidR="004930FB">
        <w:t xml:space="preserve">                                            </w:t>
      </w:r>
      <w:r w:rsidRPr="00B74ED3">
        <w:t xml:space="preserve">a w przypadku szczególnego okrucieństwa za ten czyn przewiduje się karę pozbawienia wolności od roku do 10 lat. W świetle kodeksu karnego, jeżeli następstwem znęcania się jest targnięcie się na życie przez ofiarę, to wymiar kary pozbawienia wolności zwiększa </w:t>
      </w:r>
      <w:r w:rsidR="00F061DA">
        <w:t xml:space="preserve">                               </w:t>
      </w:r>
      <w:r w:rsidRPr="00B74ED3">
        <w:t>się do przedziału od 2 do 12 lat.</w:t>
      </w:r>
    </w:p>
    <w:p w:rsidR="006F0875" w:rsidRPr="00B74ED3" w:rsidRDefault="006F0875" w:rsidP="006F0875">
      <w:r w:rsidRPr="00B74ED3">
        <w:t xml:space="preserve">Przemoc w rodzinie nie pojawia się nagle – jest procesem, ma charakter cykliczny oraz tendencję do powtarzania się i eskalacji. Można tu wyróżnić trzy podstawowe fazy. </w:t>
      </w:r>
      <w:r w:rsidR="00F830F6">
        <w:br/>
      </w:r>
      <w:r w:rsidRPr="00B74ED3">
        <w:t xml:space="preserve">W pierwszej narasta napięcie i agresja ze strony sprawcy, natomiast ofiarę ogarnia niepokój </w:t>
      </w:r>
      <w:r w:rsidR="00F830F6">
        <w:br/>
      </w:r>
      <w:r w:rsidRPr="00B74ED3">
        <w:t xml:space="preserve">i stara się oddalić zagrożenie. Druga faza to gwałtowna przemoc, w której z nieistotnej przyczyny dochodzi do wybuchu agresji, przy czym ofiara z jednej strony odczuwa przerażenie i bezradność, a z drugiej stara się uspokoić sprawcę i ochronić siebie oraz najbliższych. </w:t>
      </w:r>
      <w:r w:rsidR="00F830F6">
        <w:br/>
      </w:r>
      <w:r w:rsidRPr="00B74ED3">
        <w:t>W trzeciej fazie sprawca, zdając sobie sprawę z tego co zrobił, próbuje znaleźć wytłumaczenie i usprawiedliwienie dla swojego zachowania, ma poczucie winy, przeprasza</w:t>
      </w:r>
      <w:r w:rsidR="00F061DA">
        <w:t xml:space="preserve">                           </w:t>
      </w:r>
      <w:r w:rsidRPr="00B74ED3">
        <w:t xml:space="preserve"> i obiecuje, że taka sytuacja więcej się nie powtórzy, a ofiara ufa, że był to tylko incydent. Faza ta nazywana jest fazą „miodowego miesiąca”, jednak po niej znów następuje faza pierwsza, nierzadko silniejsza niż poprzednia</w:t>
      </w:r>
      <w:r w:rsidRPr="00B74ED3">
        <w:rPr>
          <w:rStyle w:val="Odwoanieprzypisudolnego"/>
        </w:rPr>
        <w:footnoteReference w:id="4"/>
      </w:r>
      <w:r w:rsidRPr="00B74ED3">
        <w:t xml:space="preserve">. </w:t>
      </w:r>
    </w:p>
    <w:p w:rsidR="006F0875" w:rsidRPr="00B74ED3" w:rsidRDefault="006F0875" w:rsidP="006F0875">
      <w:pPr>
        <w:spacing w:after="60"/>
      </w:pPr>
      <w:r w:rsidRPr="00B74ED3">
        <w:t>Przemoc w rodzinie może przyjmować różnorodne formy. Są to w szczególności:</w:t>
      </w:r>
    </w:p>
    <w:p w:rsidR="006F0875" w:rsidRPr="00B74ED3" w:rsidRDefault="006F0875" w:rsidP="006F0875">
      <w:pPr>
        <w:pStyle w:val="Akapitzlist"/>
        <w:numPr>
          <w:ilvl w:val="0"/>
          <w:numId w:val="5"/>
        </w:numPr>
        <w:spacing w:after="0"/>
        <w:ind w:left="709"/>
        <w:contextualSpacing w:val="0"/>
      </w:pPr>
      <w:r w:rsidRPr="00B74ED3">
        <w:rPr>
          <w:u w:val="single"/>
        </w:rPr>
        <w:t>przemoc fizyczna</w:t>
      </w:r>
      <w:r w:rsidRPr="00B74ED3">
        <w:t xml:space="preserve"> – zwrócona przeciwko fizyczności człowieka, niosąca ryzyko uszkodzenia ciała poprzez takie zachowania jak np.: popychanie, potrząsanie, policzkowanie, kopanie, duszenie, bicie, rzucanie w kogoś przedmiotami, przypalanie, topienie; </w:t>
      </w:r>
    </w:p>
    <w:p w:rsidR="006F0875" w:rsidRPr="00B74ED3" w:rsidRDefault="006F0875" w:rsidP="006F0875">
      <w:pPr>
        <w:pStyle w:val="Akapitzlist"/>
        <w:numPr>
          <w:ilvl w:val="0"/>
          <w:numId w:val="5"/>
        </w:numPr>
        <w:spacing w:after="0"/>
        <w:ind w:left="709"/>
        <w:contextualSpacing w:val="0"/>
      </w:pPr>
      <w:r w:rsidRPr="00B74ED3">
        <w:rPr>
          <w:u w:val="single"/>
        </w:rPr>
        <w:t>przemoc psychiczna</w:t>
      </w:r>
      <w:r w:rsidRPr="00B74ED3">
        <w:t xml:space="preserve"> – zmierzająca do poniżenia ofiary, zastraszenia, pozbawienia wiary we własne możliwości; obejmuje wszystkie działania (z wyjątkiem użycia siły fizycznej), służące obniżeniu poczucia własnej wartości, wywołaniu stanów lękowych</w:t>
      </w:r>
      <w:r w:rsidR="00F061DA">
        <w:t xml:space="preserve">       </w:t>
      </w:r>
      <w:r w:rsidRPr="00B74ED3">
        <w:t xml:space="preserve"> i zaburzeń osobowości oraz zahamowania procesu osobistego rozwoju, takie jak np. szantaż emocjonalny, manipulacja, śledzenie, nękanie telefonami, wysyłanie anonimów, nagabywanie;</w:t>
      </w:r>
    </w:p>
    <w:p w:rsidR="006F0875" w:rsidRPr="00B74ED3" w:rsidRDefault="006F0875" w:rsidP="006F0875">
      <w:pPr>
        <w:pStyle w:val="Akapitzlist"/>
        <w:numPr>
          <w:ilvl w:val="0"/>
          <w:numId w:val="5"/>
        </w:numPr>
        <w:spacing w:after="0"/>
        <w:ind w:left="709"/>
        <w:contextualSpacing w:val="0"/>
      </w:pPr>
      <w:r w:rsidRPr="00B74ED3">
        <w:rPr>
          <w:u w:val="single"/>
        </w:rPr>
        <w:t>przemoc seksualna</w:t>
      </w:r>
      <w:r w:rsidRPr="00B74ED3">
        <w:t xml:space="preserve"> – polega na zmuszaniu ofiary do jakiejkolwiek formy aktywności seksualnej, a także na zachowaniach sprowadzających ją do roli obiektu seksualnego, poprzez np. niechciane dotykanie, szczypnięcia, klepanie, żarty i gesty upokarzające seksualną naturę drugiej osoby;</w:t>
      </w:r>
    </w:p>
    <w:p w:rsidR="006F0875" w:rsidRPr="00B74ED3" w:rsidRDefault="006F0875" w:rsidP="006F0875">
      <w:pPr>
        <w:pStyle w:val="Akapitzlist"/>
        <w:numPr>
          <w:ilvl w:val="0"/>
          <w:numId w:val="5"/>
        </w:numPr>
        <w:spacing w:after="60"/>
        <w:ind w:left="709"/>
        <w:contextualSpacing w:val="0"/>
      </w:pPr>
      <w:r w:rsidRPr="00B74ED3">
        <w:rPr>
          <w:u w:val="single"/>
        </w:rPr>
        <w:t>przemoc ekonomiczna</w:t>
      </w:r>
      <w:r w:rsidRPr="00B74ED3">
        <w:t xml:space="preserve"> – obejmuje działania służące ograniczeniu swobodnego dysponowania pieniędzmi i własnymi dobrami bądź dostępu do dóbr wspólnych; </w:t>
      </w:r>
      <w:r w:rsidRPr="00B74ED3">
        <w:lastRenderedPageBreak/>
        <w:t xml:space="preserve">może polegać np. na odbieraniu pieniędzy, kontrolowaniu wydatków, zmuszaniu </w:t>
      </w:r>
      <w:r w:rsidR="00F061DA">
        <w:t xml:space="preserve">                          </w:t>
      </w:r>
      <w:r w:rsidRPr="00B74ED3">
        <w:t>do proszenia o pieniądze czy uniemożliwianiu podjęcia pracy.</w:t>
      </w:r>
    </w:p>
    <w:p w:rsidR="006F0875" w:rsidRPr="00B74ED3" w:rsidRDefault="006F0875" w:rsidP="006F0875">
      <w:r w:rsidRPr="00B74ED3">
        <w:t xml:space="preserve">Wśród innych form przemocy można wskazać także </w:t>
      </w:r>
      <w:r w:rsidRPr="0043355E">
        <w:t>zaniedbanie</w:t>
      </w:r>
      <w:r w:rsidRPr="00B74ED3">
        <w:t xml:space="preserve">, polegające na nie zaspokajaniu podstawowych potrzeb fizycznych i psychicznych osoby; przemoc symboliczną, czyli narzucanie sposobu rozumienia rzeczywistości oraz </w:t>
      </w:r>
      <w:proofErr w:type="spellStart"/>
      <w:r w:rsidRPr="00B74ED3">
        <w:t>cyberprzemoc</w:t>
      </w:r>
      <w:proofErr w:type="spellEnd"/>
      <w:r w:rsidRPr="00B74ED3">
        <w:t xml:space="preserve">, czyli przemoc </w:t>
      </w:r>
      <w:r w:rsidRPr="00B74ED3">
        <w:br/>
        <w:t xml:space="preserve">z użyciem nowoczesnych technologii, najczęściej telefonów komórkowych i </w:t>
      </w:r>
      <w:proofErr w:type="spellStart"/>
      <w:r w:rsidRPr="00B74ED3">
        <w:t>internetu</w:t>
      </w:r>
      <w:proofErr w:type="spellEnd"/>
      <w:r w:rsidRPr="00B74ED3">
        <w:t xml:space="preserve">. </w:t>
      </w:r>
    </w:p>
    <w:p w:rsidR="006F0875" w:rsidRPr="00B74ED3" w:rsidRDefault="006F0875" w:rsidP="006F0875">
      <w:r w:rsidRPr="00B74ED3">
        <w:t xml:space="preserve">Jako przemoc w rodzinie kwalifikowane są również czyny zabronione, takie jak pozostawianie osoby, względem której jest się obowiązanym do opieki, w sytuacjach zagrażających bezpośrednio jej życiu lub zdrowiu, groźby popełnienia przestępstwa </w:t>
      </w:r>
      <w:r w:rsidR="00F061DA">
        <w:t xml:space="preserve">                         </w:t>
      </w:r>
      <w:r w:rsidRPr="00B74ED3">
        <w:t xml:space="preserve">na szkodę najbliższych, zmuszanie do określonych zachowań, gwałt, nakłanianie i zmuszanie do czynów nierządnych przy wykorzystaniu stosunku zależności, dopuszczanie się czynu lubieżnego względem osoby poniżej 15 lat, znęcanie się psychiczne lub fizyczne, rozpijanie małoletniego, uchylanie się od obowiązku alimentacyjnego, porzucanie małoletniego </w:t>
      </w:r>
      <w:r w:rsidR="00F061DA">
        <w:t xml:space="preserve">                                          </w:t>
      </w:r>
      <w:r w:rsidRPr="00B74ED3">
        <w:t>lub osoby nieporadnej, uprowadzanie lub zatrzymanie małoletniego wbrew woli osoby powołanej do opieki, naruszanie nietykalności cielesnej, kradzież na rzecz osoby najbliższej oraz niszczenie mienia.</w:t>
      </w:r>
    </w:p>
    <w:p w:rsidR="006F0875" w:rsidRPr="00B74ED3" w:rsidRDefault="006F0875" w:rsidP="006F0875">
      <w:pPr>
        <w:spacing w:after="60"/>
      </w:pPr>
      <w:r w:rsidRPr="00B74ED3">
        <w:t>Wokół przemocy w rodzinie krąży wiele mitów i stereotypów, które utrudniają zarówno rozpoznanie tego zjawiska, jak i przeciwdziałanie mu. W ich świetle przemoc jest m.in.:</w:t>
      </w:r>
    </w:p>
    <w:p w:rsidR="006F0875" w:rsidRPr="00B74ED3" w:rsidRDefault="006F0875" w:rsidP="006F0875">
      <w:pPr>
        <w:numPr>
          <w:ilvl w:val="0"/>
          <w:numId w:val="26"/>
        </w:numPr>
        <w:spacing w:after="0"/>
      </w:pPr>
      <w:r w:rsidRPr="00B74ED3">
        <w:t xml:space="preserve">przedstawiana jako prywatna sprawa każdej rodziny, w którą nikt z zewnątrz </w:t>
      </w:r>
      <w:r w:rsidR="00F061DA">
        <w:t xml:space="preserve">                                </w:t>
      </w:r>
      <w:r w:rsidRPr="00B74ED3">
        <w:t>nie powinien się wtrącać;</w:t>
      </w:r>
    </w:p>
    <w:p w:rsidR="006F0875" w:rsidRPr="00B74ED3" w:rsidRDefault="006F0875" w:rsidP="006F0875">
      <w:pPr>
        <w:numPr>
          <w:ilvl w:val="0"/>
          <w:numId w:val="26"/>
        </w:numPr>
        <w:spacing w:after="0"/>
      </w:pPr>
      <w:r w:rsidRPr="00B74ED3">
        <w:t xml:space="preserve">sprowadzana tylko do przemocy fizycznej i utożsamiana z jej widocznymi skutkami </w:t>
      </w:r>
      <w:r w:rsidRPr="00B74ED3">
        <w:br/>
        <w:t>w postaci ran, siniaków i złamań;</w:t>
      </w:r>
    </w:p>
    <w:p w:rsidR="006F0875" w:rsidRPr="00B74ED3" w:rsidRDefault="006F0875" w:rsidP="006F0875">
      <w:pPr>
        <w:numPr>
          <w:ilvl w:val="0"/>
          <w:numId w:val="26"/>
        </w:numPr>
        <w:spacing w:after="0"/>
      </w:pPr>
      <w:r w:rsidRPr="00B74ED3">
        <w:t>obecna tylko w rodzinach patologicznych, w których są również uzależnienia, ubóstwo, bezrobocie;</w:t>
      </w:r>
    </w:p>
    <w:p w:rsidR="006F0875" w:rsidRPr="00B74ED3" w:rsidRDefault="006F0875" w:rsidP="006F0875">
      <w:pPr>
        <w:numPr>
          <w:ilvl w:val="0"/>
          <w:numId w:val="26"/>
        </w:numPr>
        <w:spacing w:after="0"/>
      </w:pPr>
      <w:r w:rsidRPr="00B74ED3">
        <w:t>niewystarczającym powodem do tego, by rozstać się z partnerem/</w:t>
      </w:r>
      <w:proofErr w:type="spellStart"/>
      <w:r w:rsidRPr="00B74ED3">
        <w:t>ką</w:t>
      </w:r>
      <w:proofErr w:type="spellEnd"/>
      <w:r w:rsidRPr="00B74ED3">
        <w:t>, szczególnie jeśli w związku są dzieci, których dobru rozstanie może zagrozić;</w:t>
      </w:r>
    </w:p>
    <w:p w:rsidR="006F0875" w:rsidRPr="00B74ED3" w:rsidRDefault="006F0875" w:rsidP="006F0875">
      <w:pPr>
        <w:numPr>
          <w:ilvl w:val="0"/>
          <w:numId w:val="26"/>
        </w:numPr>
        <w:spacing w:after="60"/>
        <w:ind w:left="714" w:hanging="357"/>
      </w:pPr>
      <w:r w:rsidRPr="00B74ED3">
        <w:t>powodem do wstydu dla ofiary, do którego nie powinna się przyznawać ani tym bardziej komuś żalić, niejednokrotnie traktowana jako winna temu, że doznaje przemocy.</w:t>
      </w:r>
    </w:p>
    <w:p w:rsidR="006F0875" w:rsidRPr="00B74ED3" w:rsidRDefault="006F0875" w:rsidP="006F0875">
      <w:r w:rsidRPr="00B74ED3">
        <w:t xml:space="preserve">Powyższe mity i stereotypy nadal funkcjonują w wielu środowiskach, a ich bezpośrednią konsekwencją jest ukrywanie przemocy przez jej ofiary, m.in. ze względu na związek emocjonalny ze sprawcą, obawę przed ostracyzmem społecznym czy brak wiary w możliwość zmiany sytuacji. Tymczasem konsekwencje mogą być bardzo poważne. Przemoc destabilizuje bowiem funkcjonowanie całego systemu rodzinnego, powodując z jednej strony bezpośrednie szkody w sferze zdrowia fizycznego i psychicznego, takie jak uszkodzenia ciała, zaburzenia psychosomatyczne, depresję czy stany lękowe; a z drugiej strony długotrwałe negatywne konsekwencje takie jak brak poczucia własnej wartości, wycofanie społeczne </w:t>
      </w:r>
      <w:r w:rsidR="002B1DF9">
        <w:t xml:space="preserve">                      </w:t>
      </w:r>
      <w:r w:rsidRPr="00B74ED3">
        <w:t xml:space="preserve">czy ubóstwo. Istotne szkody przemoc może przynieść </w:t>
      </w:r>
      <w:r w:rsidRPr="00B74ED3">
        <w:rPr>
          <w:rFonts w:cs="Calibri"/>
        </w:rPr>
        <w:t>dzieciom. Wskazuje się tu przede wszystkim na urazy i obrażenia, które mogą prowadzić do niepełnosprawności</w:t>
      </w:r>
      <w:r w:rsidRPr="00B74ED3">
        <w:t>; problemy zdrowotne z włączeniem zahamowania rozwoju, chorób płuc, serca i wątroby, de</w:t>
      </w:r>
      <w:r w:rsidRPr="00B74ED3">
        <w:rPr>
          <w:rFonts w:cs="Calibri"/>
        </w:rPr>
        <w:t>f</w:t>
      </w:r>
      <w:r w:rsidRPr="00B74ED3">
        <w:t>icyty poznawcze, odbijające się na osiągnięciach szkolnych; konsekwencje psychologiczne</w:t>
      </w:r>
      <w:r w:rsidR="002B1DF9">
        <w:t xml:space="preserve">                                         </w:t>
      </w:r>
      <w:r w:rsidRPr="00B74ED3">
        <w:t xml:space="preserve"> i emocjonalne (poczucie odrzucenia, zaburzenia przywiązania); zaburzenia traumatyczne; brak poczucia bezpieczeństwa; naruszoną samoocenę; problemy zdrowia psychicznego </w:t>
      </w:r>
      <w:r w:rsidRPr="00B74ED3">
        <w:lastRenderedPageBreak/>
        <w:t xml:space="preserve">(zaburzenia lękowe i depresja, próby samobójcze) oraz zachowania ryzykowne, takie </w:t>
      </w:r>
      <w:r w:rsidR="00C357CA">
        <w:t xml:space="preserve">                           </w:t>
      </w:r>
      <w:r w:rsidRPr="00B74ED3">
        <w:t>jak uzależnienia, wagarowanie, zaburzenia rówieśnicze czy zachowania kryminalne</w:t>
      </w:r>
      <w:r w:rsidRPr="00B74ED3">
        <w:rPr>
          <w:rStyle w:val="Odwoanieprzypisudolnego"/>
        </w:rPr>
        <w:footnoteReference w:id="5"/>
      </w:r>
      <w:r w:rsidRPr="00B74ED3">
        <w:t>.</w:t>
      </w:r>
    </w:p>
    <w:p w:rsidR="006F0875" w:rsidRPr="00B74ED3" w:rsidRDefault="006F0875" w:rsidP="006F0875">
      <w:r w:rsidRPr="00B74ED3">
        <w:t xml:space="preserve">Jednym ze źródeł wiedzy o przemocy w rodzinie, w tym skali tego zjawiska i jego specyfiki, </w:t>
      </w:r>
      <w:r w:rsidR="00C357CA">
        <w:t xml:space="preserve">         </w:t>
      </w:r>
      <w:r w:rsidRPr="00B74ED3">
        <w:t xml:space="preserve">są badania społeczne. Z sondażu przeprowadzonego na zlecenie Ministerstwa Spraw Wewnętrznych wynika, że co siódmy Polak (14%) był w 2014 roku świadkiem  przemocy </w:t>
      </w:r>
      <w:r w:rsidRPr="00B74ED3">
        <w:br/>
        <w:t>w rodzinie, jednak tylko dwie na pięć osób zgłosiło ten fakt odpowiednim instytucjom</w:t>
      </w:r>
      <w:r w:rsidRPr="00B74ED3">
        <w:rPr>
          <w:rStyle w:val="Odwoanieprzypisudolnego"/>
        </w:rPr>
        <w:footnoteReference w:id="6"/>
      </w:r>
      <w:r w:rsidRPr="00B74ED3">
        <w:t>. Badanie zlecone przez Ministerstwo Rodziny, Pracy i Polityki Społecznej w 2019 roku wskazuje natomiast na to, że aż 57% Polaków doświadczyło przynajmniej jednej z form przemocy, przy czym na pierwszym miejscu uplasowała się przemoc psychiczna, której doświadczyło 53% ankietowanych, natomiast przemocy fizycznej doznało 23% respondentów</w:t>
      </w:r>
      <w:r w:rsidRPr="00B74ED3">
        <w:rPr>
          <w:rStyle w:val="Odwoanieprzypisudolnego"/>
        </w:rPr>
        <w:footnoteReference w:id="7"/>
      </w:r>
      <w:r w:rsidRPr="00B74ED3">
        <w:t xml:space="preserve">.  </w:t>
      </w:r>
    </w:p>
    <w:p w:rsidR="006F0875" w:rsidRPr="00B74ED3" w:rsidRDefault="006F0875" w:rsidP="006F0875">
      <w:pPr>
        <w:spacing w:after="60"/>
      </w:pPr>
      <w:r w:rsidRPr="00B74ED3">
        <w:t>Tematyce przemocy wobec dzieci poświęcony jest raport „Przemoc w wychowaniu. Między prawnym zakazem a społeczną akceptacją. Monitoring Rzecznika Praw Dziecka”. Analiza występowania przemocy w zachowaniach i doświadczeniach respondentów posiadających dzieci pokazuje, że przemoc jest często obecna w praktyce wychowawczej w polskich rodzinach. W prawie połowie badanych rodzin wykorzystuje się tzw. klapsy, w niespełna jednej piątej dziecko może otrzymywać „lanie”. Rodzice ujawniający zachowania przemocy wobec własnych dzieci to najczęściej osoby po 40 roku życia, o niższym wykształceniu, posiadający więcej niż dwoje dzieci, oceniający swoją sytuację materialną jako złą, a także samotnie wychowujący dzieci. W świetle przywołanego raportu niemal dwie piąte badanych Polaków opowiada się za tym, że postępowanie z dzieckiem jest sprawą prywatną rodziców, nawet w sytuacji, gdy stosują oni wobec niego kary fizyczne. Dominują tu mężczyźni, osoby starsze, mieszkańcy wsi oraz osoby niżej wykształcone. Więcej niż co dziesiąty badany zadeklarował brak reakcji na sytuację przemocy</w:t>
      </w:r>
      <w:r w:rsidRPr="00B74ED3">
        <w:rPr>
          <w:rStyle w:val="Odwoanieprzypisudolnego"/>
        </w:rPr>
        <w:footnoteReference w:id="8"/>
      </w:r>
      <w:r w:rsidRPr="00B74ED3">
        <w:t>.</w:t>
      </w:r>
    </w:p>
    <w:p w:rsidR="00CD6529" w:rsidRPr="006F0875" w:rsidRDefault="006F0875" w:rsidP="006F0875">
      <w:pPr>
        <w:pStyle w:val="Nagwek1"/>
        <w:numPr>
          <w:ilvl w:val="0"/>
          <w:numId w:val="24"/>
        </w:numPr>
        <w:ind w:left="284" w:hanging="284"/>
      </w:pPr>
      <w:r w:rsidRPr="00885F81">
        <w:rPr>
          <w:highlight w:val="yellow"/>
        </w:rPr>
        <w:br w:type="page"/>
      </w:r>
      <w:bookmarkStart w:id="2" w:name="_Toc86158828"/>
      <w:r w:rsidRPr="006F0875">
        <w:lastRenderedPageBreak/>
        <w:t xml:space="preserve">Kontekst prawny i </w:t>
      </w:r>
      <w:proofErr w:type="spellStart"/>
      <w:r w:rsidRPr="006F0875">
        <w:t>strategicznyprzeciwdziałania</w:t>
      </w:r>
      <w:proofErr w:type="spellEnd"/>
      <w:r w:rsidRPr="006F0875">
        <w:t xml:space="preserve"> </w:t>
      </w:r>
      <w:r w:rsidR="00F472F9" w:rsidRPr="006F0875">
        <w:t>przemocy w rodzinie</w:t>
      </w:r>
      <w:bookmarkEnd w:id="2"/>
    </w:p>
    <w:p w:rsidR="006F0875" w:rsidRPr="006F0875" w:rsidRDefault="006F0875" w:rsidP="006F0875">
      <w:pPr>
        <w:pStyle w:val="Nagwek2"/>
        <w:numPr>
          <w:ilvl w:val="1"/>
          <w:numId w:val="24"/>
        </w:numPr>
        <w:ind w:left="284" w:hanging="284"/>
      </w:pPr>
      <w:bookmarkStart w:id="3" w:name="_Toc86158829"/>
      <w:r w:rsidRPr="006F0875">
        <w:t>Uwarunkowania prawne</w:t>
      </w:r>
      <w:bookmarkEnd w:id="3"/>
    </w:p>
    <w:p w:rsidR="006F0875" w:rsidRPr="002F7791" w:rsidRDefault="006F0875" w:rsidP="006F0875">
      <w:pPr>
        <w:rPr>
          <w:bCs/>
        </w:rPr>
      </w:pPr>
      <w:r w:rsidRPr="002F7791">
        <w:rPr>
          <w:bCs/>
        </w:rPr>
        <w:t>Zadania państwa</w:t>
      </w:r>
      <w:r w:rsidRPr="002F7791">
        <w:rPr>
          <w:szCs w:val="24"/>
        </w:rPr>
        <w:t xml:space="preserve"> w dziedzinie przeciwdziałania przemocy w rodzinie oraz ochrony ofiar mają swoje źródło w </w:t>
      </w:r>
      <w:r w:rsidRPr="002F7791">
        <w:rPr>
          <w:i/>
          <w:szCs w:val="24"/>
        </w:rPr>
        <w:t>Konstytucji Rzeczypospolitej Polskiej z dnia 2 kwietnia 1997 r</w:t>
      </w:r>
      <w:r w:rsidRPr="002F7791">
        <w:rPr>
          <w:szCs w:val="24"/>
        </w:rPr>
        <w:t xml:space="preserve">. W świetle </w:t>
      </w:r>
      <w:r w:rsidR="00E1523F">
        <w:rPr>
          <w:szCs w:val="24"/>
        </w:rPr>
        <w:t xml:space="preserve">                       </w:t>
      </w:r>
      <w:r w:rsidRPr="002F7791">
        <w:rPr>
          <w:szCs w:val="24"/>
        </w:rPr>
        <w:t xml:space="preserve">jej art. 18: „Małżeństwo jako związek kobiety i mężczyzny, rodzina, macierzyństwo </w:t>
      </w:r>
      <w:r w:rsidR="00E1523F">
        <w:rPr>
          <w:szCs w:val="24"/>
        </w:rPr>
        <w:t xml:space="preserve">                                           </w:t>
      </w:r>
      <w:r w:rsidRPr="002F7791">
        <w:rPr>
          <w:szCs w:val="24"/>
        </w:rPr>
        <w:t xml:space="preserve">i rodzicielstwo znajdują się pod ochroną i opieką Rzeczypospolitej Polskiej”, natomiast </w:t>
      </w:r>
      <w:proofErr w:type="spellStart"/>
      <w:r w:rsidRPr="002F7791">
        <w:rPr>
          <w:szCs w:val="24"/>
        </w:rPr>
        <w:t>zgodniez</w:t>
      </w:r>
      <w:proofErr w:type="spellEnd"/>
      <w:r w:rsidRPr="002F7791">
        <w:rPr>
          <w:szCs w:val="24"/>
        </w:rPr>
        <w:t xml:space="preserve">  </w:t>
      </w:r>
      <w:r w:rsidRPr="002F7791">
        <w:rPr>
          <w:bCs/>
          <w:szCs w:val="24"/>
        </w:rPr>
        <w:t xml:space="preserve">art. 71 </w:t>
      </w:r>
      <w:r w:rsidRPr="002F7791">
        <w:rPr>
          <w:szCs w:val="24"/>
        </w:rPr>
        <w:t>ust. 1 „Państwo w swojej polityce społecznej i gospodarczej uwzględnia dobro rodziny. Rodziny znajdujące się w trudnej sytuacji materialnej i społecznej, zwłaszcza wielodzietne i niepełne, mają prawo do szczególnej pomocy ze strony władz publicznych.” Wyjątkowej ochronie Rzeczypospolitej Polskiej podlegają ponadto prawa dzieci, albowiem „każdy ma prawo żądać od organów władzy publicznej ochrony dziecka przed przemocą, okrucieństwem, wyzyskiem i demoralizacją” (art. 72 ust. 1).</w:t>
      </w:r>
    </w:p>
    <w:p w:rsidR="006F0875" w:rsidRPr="002F7791" w:rsidRDefault="006F0875" w:rsidP="006F0875">
      <w:pPr>
        <w:spacing w:after="0"/>
      </w:pPr>
      <w:r w:rsidRPr="002F7791">
        <w:rPr>
          <w:szCs w:val="24"/>
        </w:rPr>
        <w:t>U</w:t>
      </w:r>
      <w:r w:rsidRPr="002F7791">
        <w:t>regulowania dotyczące przeciwdziałania przemocy w rodzinie znajdują się w szeregu ustaw, wśród których należy wymienić w szczególności ustawy:</w:t>
      </w:r>
    </w:p>
    <w:p w:rsidR="006F0875" w:rsidRPr="002F7791" w:rsidRDefault="006F0875" w:rsidP="006F0875">
      <w:pPr>
        <w:pStyle w:val="Akapitzlist"/>
        <w:numPr>
          <w:ilvl w:val="0"/>
          <w:numId w:val="1"/>
        </w:numPr>
        <w:spacing w:after="0"/>
        <w:ind w:left="714" w:hanging="357"/>
        <w:contextualSpacing w:val="0"/>
        <w:rPr>
          <w:bCs/>
          <w:i/>
        </w:rPr>
      </w:pPr>
      <w:r w:rsidRPr="002F7791">
        <w:rPr>
          <w:i/>
        </w:rPr>
        <w:t xml:space="preserve">z dnia 12 marca 2004 r. o pomocy społecznej </w:t>
      </w:r>
      <w:r w:rsidRPr="002F7791">
        <w:rPr>
          <w:iCs/>
        </w:rPr>
        <w:t>(</w:t>
      </w:r>
      <w:proofErr w:type="spellStart"/>
      <w:r w:rsidRPr="002F7791">
        <w:rPr>
          <w:bCs/>
          <w:iCs/>
        </w:rPr>
        <w:t>t.j</w:t>
      </w:r>
      <w:proofErr w:type="spellEnd"/>
      <w:r w:rsidRPr="002F7791">
        <w:rPr>
          <w:bCs/>
          <w:iCs/>
        </w:rPr>
        <w:t xml:space="preserve">. </w:t>
      </w:r>
      <w:proofErr w:type="spellStart"/>
      <w:r w:rsidRPr="002F7791">
        <w:rPr>
          <w:bCs/>
          <w:iCs/>
        </w:rPr>
        <w:t>Dz.U</w:t>
      </w:r>
      <w:proofErr w:type="spellEnd"/>
      <w:r w:rsidRPr="002F7791">
        <w:rPr>
          <w:bCs/>
          <w:iCs/>
        </w:rPr>
        <w:t>. 2020 poz. 1876 ze zm.);</w:t>
      </w:r>
    </w:p>
    <w:p w:rsidR="006F0875" w:rsidRPr="002F7791" w:rsidRDefault="006F0875" w:rsidP="006F0875">
      <w:pPr>
        <w:pStyle w:val="Akapitzlist"/>
        <w:numPr>
          <w:ilvl w:val="0"/>
          <w:numId w:val="1"/>
        </w:numPr>
        <w:spacing w:after="0"/>
        <w:contextualSpacing w:val="0"/>
        <w:rPr>
          <w:bCs/>
          <w:iCs/>
        </w:rPr>
      </w:pPr>
      <w:r w:rsidRPr="002F7791">
        <w:rPr>
          <w:bCs/>
          <w:i/>
        </w:rPr>
        <w:t xml:space="preserve">z dnia 9 czerwca 2011 r. o wspieraniu rodziny i systemie pieczy zastępczej </w:t>
      </w:r>
      <w:r w:rsidRPr="002F7791">
        <w:rPr>
          <w:bCs/>
          <w:iCs/>
        </w:rPr>
        <w:t>(</w:t>
      </w:r>
      <w:proofErr w:type="spellStart"/>
      <w:r w:rsidRPr="002F7791">
        <w:rPr>
          <w:bCs/>
          <w:iCs/>
        </w:rPr>
        <w:t>t</w:t>
      </w:r>
      <w:r w:rsidR="00E1523F">
        <w:rPr>
          <w:bCs/>
          <w:iCs/>
        </w:rPr>
        <w:t>.j</w:t>
      </w:r>
      <w:proofErr w:type="spellEnd"/>
      <w:r w:rsidR="00E1523F">
        <w:rPr>
          <w:bCs/>
          <w:iCs/>
        </w:rPr>
        <w:t xml:space="preserve">. </w:t>
      </w:r>
      <w:proofErr w:type="spellStart"/>
      <w:r w:rsidR="00E1523F">
        <w:rPr>
          <w:bCs/>
          <w:iCs/>
        </w:rPr>
        <w:t>Dz.U</w:t>
      </w:r>
      <w:proofErr w:type="spellEnd"/>
      <w:r w:rsidR="00E1523F">
        <w:rPr>
          <w:bCs/>
          <w:iCs/>
        </w:rPr>
        <w:t>. 2020 poz. 821 ze zm.);</w:t>
      </w:r>
    </w:p>
    <w:p w:rsidR="006F0875" w:rsidRPr="002F7791" w:rsidRDefault="006F0875" w:rsidP="006F0875">
      <w:pPr>
        <w:pStyle w:val="Akapitzlist"/>
        <w:numPr>
          <w:ilvl w:val="0"/>
          <w:numId w:val="1"/>
        </w:numPr>
        <w:spacing w:after="0"/>
        <w:contextualSpacing w:val="0"/>
        <w:rPr>
          <w:bCs/>
          <w:i/>
        </w:rPr>
      </w:pPr>
      <w:r w:rsidRPr="002F7791">
        <w:rPr>
          <w:bCs/>
          <w:i/>
        </w:rPr>
        <w:t xml:space="preserve">z dnia 26 października 1982 r. o wychowaniu w trzeźwości i przeciwdziałaniu alkoholizmowi </w:t>
      </w:r>
      <w:r w:rsidR="00E1523F">
        <w:rPr>
          <w:bCs/>
          <w:iCs/>
        </w:rPr>
        <w:t>(</w:t>
      </w:r>
      <w:proofErr w:type="spellStart"/>
      <w:r w:rsidR="00E1523F">
        <w:rPr>
          <w:bCs/>
          <w:iCs/>
        </w:rPr>
        <w:t>t.j</w:t>
      </w:r>
      <w:proofErr w:type="spellEnd"/>
      <w:r w:rsidR="00E1523F">
        <w:rPr>
          <w:bCs/>
          <w:iCs/>
        </w:rPr>
        <w:t xml:space="preserve">. </w:t>
      </w:r>
      <w:proofErr w:type="spellStart"/>
      <w:r w:rsidR="00E1523F">
        <w:rPr>
          <w:bCs/>
          <w:iCs/>
        </w:rPr>
        <w:t>Dz.U</w:t>
      </w:r>
      <w:proofErr w:type="spellEnd"/>
      <w:r w:rsidR="00E1523F">
        <w:rPr>
          <w:bCs/>
          <w:iCs/>
        </w:rPr>
        <w:t>. 2021 poz. 1119);</w:t>
      </w:r>
    </w:p>
    <w:p w:rsidR="006F0875" w:rsidRPr="002F7791" w:rsidRDefault="006F0875" w:rsidP="006F0875">
      <w:pPr>
        <w:pStyle w:val="Akapitzlist"/>
        <w:numPr>
          <w:ilvl w:val="0"/>
          <w:numId w:val="1"/>
        </w:numPr>
        <w:spacing w:after="0"/>
        <w:ind w:left="714" w:hanging="357"/>
        <w:contextualSpacing w:val="0"/>
        <w:rPr>
          <w:bCs/>
        </w:rPr>
      </w:pPr>
      <w:r w:rsidRPr="002F7791">
        <w:rPr>
          <w:bCs/>
          <w:i/>
        </w:rPr>
        <w:t xml:space="preserve">z dnia 6 czerwca 1997 r. Kodeks karny </w:t>
      </w:r>
      <w:r w:rsidRPr="002F7791">
        <w:rPr>
          <w:bCs/>
        </w:rPr>
        <w:t>(</w:t>
      </w:r>
      <w:proofErr w:type="spellStart"/>
      <w:r w:rsidRPr="002F7791">
        <w:rPr>
          <w:bCs/>
        </w:rPr>
        <w:t>t.</w:t>
      </w:r>
      <w:r w:rsidR="00E1523F">
        <w:rPr>
          <w:bCs/>
        </w:rPr>
        <w:t>j</w:t>
      </w:r>
      <w:proofErr w:type="spellEnd"/>
      <w:r w:rsidR="00E1523F">
        <w:rPr>
          <w:bCs/>
        </w:rPr>
        <w:t xml:space="preserve">. </w:t>
      </w:r>
      <w:proofErr w:type="spellStart"/>
      <w:r w:rsidR="00E1523F">
        <w:rPr>
          <w:bCs/>
        </w:rPr>
        <w:t>Dz.U</w:t>
      </w:r>
      <w:proofErr w:type="spellEnd"/>
      <w:r w:rsidR="00E1523F">
        <w:rPr>
          <w:bCs/>
        </w:rPr>
        <w:t>. 2020 poz. 1444 ze zm.);</w:t>
      </w:r>
    </w:p>
    <w:p w:rsidR="006F0875" w:rsidRPr="002F7791" w:rsidRDefault="006F0875" w:rsidP="006F0875">
      <w:pPr>
        <w:pStyle w:val="Akapitzlist"/>
        <w:numPr>
          <w:ilvl w:val="0"/>
          <w:numId w:val="1"/>
        </w:numPr>
        <w:spacing w:after="0"/>
        <w:ind w:left="714" w:hanging="357"/>
        <w:contextualSpacing w:val="0"/>
        <w:rPr>
          <w:bCs/>
        </w:rPr>
      </w:pPr>
      <w:r w:rsidRPr="002F7791">
        <w:rPr>
          <w:bCs/>
          <w:i/>
        </w:rPr>
        <w:t xml:space="preserve">z dnia 6 czerwca 1997 r. Kodeks postępowania karnego </w:t>
      </w:r>
      <w:r w:rsidRPr="002F7791">
        <w:rPr>
          <w:bCs/>
        </w:rPr>
        <w:t>(</w:t>
      </w:r>
      <w:proofErr w:type="spellStart"/>
      <w:r w:rsidRPr="002F7791">
        <w:rPr>
          <w:bCs/>
        </w:rPr>
        <w:t>t.j</w:t>
      </w:r>
      <w:proofErr w:type="spellEnd"/>
      <w:r w:rsidRPr="002F7791">
        <w:rPr>
          <w:bCs/>
        </w:rPr>
        <w:t xml:space="preserve">. </w:t>
      </w:r>
      <w:proofErr w:type="spellStart"/>
      <w:r w:rsidRPr="002F7791">
        <w:rPr>
          <w:bCs/>
        </w:rPr>
        <w:t>Dz.U</w:t>
      </w:r>
      <w:proofErr w:type="spellEnd"/>
      <w:r w:rsidRPr="002F7791">
        <w:rPr>
          <w:bCs/>
        </w:rPr>
        <w:t xml:space="preserve">. 2021 poz. 534 </w:t>
      </w:r>
      <w:r w:rsidR="00E1523F">
        <w:rPr>
          <w:bCs/>
        </w:rPr>
        <w:t xml:space="preserve">                       ze zm.);</w:t>
      </w:r>
    </w:p>
    <w:p w:rsidR="006F0875" w:rsidRPr="002F7791" w:rsidRDefault="006F0875" w:rsidP="006F0875">
      <w:pPr>
        <w:pStyle w:val="Akapitzlist"/>
        <w:numPr>
          <w:ilvl w:val="0"/>
          <w:numId w:val="1"/>
        </w:numPr>
        <w:spacing w:after="0"/>
        <w:ind w:left="714" w:hanging="357"/>
        <w:contextualSpacing w:val="0"/>
        <w:rPr>
          <w:bCs/>
        </w:rPr>
      </w:pPr>
      <w:r w:rsidRPr="002F7791">
        <w:rPr>
          <w:bCs/>
          <w:i/>
        </w:rPr>
        <w:t xml:space="preserve">z dnia 6 czerwca 1997 r. Kodeks karny wykonawczy </w:t>
      </w:r>
      <w:r w:rsidR="00E1523F">
        <w:rPr>
          <w:bCs/>
        </w:rPr>
        <w:t>(</w:t>
      </w:r>
      <w:proofErr w:type="spellStart"/>
      <w:r w:rsidR="00E1523F">
        <w:rPr>
          <w:bCs/>
        </w:rPr>
        <w:t>t.j</w:t>
      </w:r>
      <w:proofErr w:type="spellEnd"/>
      <w:r w:rsidR="00E1523F">
        <w:rPr>
          <w:bCs/>
        </w:rPr>
        <w:t>. Dz.U.2021 poz. 53 ze zm.);</w:t>
      </w:r>
    </w:p>
    <w:p w:rsidR="006F0875" w:rsidRPr="002F7791" w:rsidRDefault="006F0875" w:rsidP="006F0875">
      <w:pPr>
        <w:pStyle w:val="Akapitzlist"/>
        <w:numPr>
          <w:ilvl w:val="0"/>
          <w:numId w:val="1"/>
        </w:numPr>
        <w:spacing w:after="60"/>
        <w:ind w:left="714" w:hanging="357"/>
        <w:contextualSpacing w:val="0"/>
        <w:rPr>
          <w:bCs/>
        </w:rPr>
      </w:pPr>
      <w:r w:rsidRPr="002F7791">
        <w:rPr>
          <w:bCs/>
          <w:i/>
        </w:rPr>
        <w:t xml:space="preserve">z dnia 25 lutego 1964 r. Kodeks </w:t>
      </w:r>
      <w:proofErr w:type="spellStart"/>
      <w:r w:rsidRPr="002F7791">
        <w:rPr>
          <w:bCs/>
          <w:i/>
        </w:rPr>
        <w:t>rodzinny</w:t>
      </w:r>
      <w:proofErr w:type="spellEnd"/>
      <w:r w:rsidRPr="002F7791">
        <w:rPr>
          <w:bCs/>
          <w:i/>
        </w:rPr>
        <w:t xml:space="preserve"> i opiekuńczy</w:t>
      </w:r>
      <w:r w:rsidRPr="002F7791">
        <w:rPr>
          <w:bCs/>
        </w:rPr>
        <w:t xml:space="preserve"> (</w:t>
      </w:r>
      <w:proofErr w:type="spellStart"/>
      <w:r w:rsidRPr="002F7791">
        <w:rPr>
          <w:bCs/>
        </w:rPr>
        <w:t>t.j</w:t>
      </w:r>
      <w:proofErr w:type="spellEnd"/>
      <w:r w:rsidRPr="002F7791">
        <w:rPr>
          <w:bCs/>
        </w:rPr>
        <w:t xml:space="preserve">. </w:t>
      </w:r>
      <w:proofErr w:type="spellStart"/>
      <w:r w:rsidRPr="002F7791">
        <w:rPr>
          <w:bCs/>
        </w:rPr>
        <w:t>Dz.U</w:t>
      </w:r>
      <w:proofErr w:type="spellEnd"/>
      <w:r w:rsidRPr="002F7791">
        <w:rPr>
          <w:bCs/>
        </w:rPr>
        <w:t>. 2020, poz. 1359).</w:t>
      </w:r>
    </w:p>
    <w:p w:rsidR="00715379" w:rsidRPr="006F0875" w:rsidRDefault="006F0875" w:rsidP="006F0875">
      <w:r w:rsidRPr="002F7791">
        <w:t xml:space="preserve">Kluczowym aktem prawnym jest cytowana wcześniej ustawa o przeciwdziałaniu przemocy </w:t>
      </w:r>
      <w:r w:rsidRPr="002F7791">
        <w:br/>
        <w:t xml:space="preserve">w rodzinie. Określa ona zadania różnych organów państwa, w tym jednostek samorządu terytorialnego, w zakresie przeciwdziałania przemocy w rodzinie, zasady postępowania wobec osób dotkniętych przemocą w rodzinie, a także wobec osób ją stosujących. </w:t>
      </w:r>
      <w:r w:rsidR="00E1523F">
        <w:t xml:space="preserve">                               Zauważyć należy, iż j</w:t>
      </w:r>
      <w:r w:rsidRPr="002F7791">
        <w:t>uż</w:t>
      </w:r>
      <w:r w:rsidR="00E1523F">
        <w:t xml:space="preserve"> sama</w:t>
      </w:r>
      <w:r w:rsidRPr="002F7791">
        <w:t xml:space="preserve"> </w:t>
      </w:r>
      <w:r w:rsidRPr="006F0875">
        <w:t xml:space="preserve">preambuła ustawy wskazuje, że „władze publiczne mają obowiązek zapewnić wszystkim obywatelom równe traktowanie i poszanowanie ich praw </w:t>
      </w:r>
      <w:r w:rsidR="00E1523F">
        <w:t xml:space="preserve">                               </w:t>
      </w:r>
      <w:r w:rsidRPr="006F0875">
        <w:t xml:space="preserve">i wolności”. </w:t>
      </w:r>
      <w:r w:rsidR="00715379" w:rsidRPr="006F0875">
        <w:t xml:space="preserve">W świetle art. 6 ust. </w:t>
      </w:r>
      <w:r w:rsidR="001F6895" w:rsidRPr="006F0875">
        <w:t>3</w:t>
      </w:r>
      <w:r w:rsidR="00715379" w:rsidRPr="006F0875">
        <w:t xml:space="preserve"> tejże ustawy do zadań własnych </w:t>
      </w:r>
      <w:r w:rsidR="001F6895" w:rsidRPr="006F0875">
        <w:t xml:space="preserve">powiatu </w:t>
      </w:r>
      <w:r w:rsidR="00715379" w:rsidRPr="006F0875">
        <w:t xml:space="preserve">należy: </w:t>
      </w:r>
    </w:p>
    <w:p w:rsidR="001F6895" w:rsidRPr="006F0875" w:rsidRDefault="001F6895" w:rsidP="006F0875">
      <w:pPr>
        <w:numPr>
          <w:ilvl w:val="0"/>
          <w:numId w:val="8"/>
        </w:numPr>
        <w:spacing w:after="60"/>
        <w:ind w:left="714" w:hanging="357"/>
      </w:pPr>
      <w:r w:rsidRPr="006F0875">
        <w:t xml:space="preserve">opracowanie i realizacja powiatowego programu przeciwdziałania przemocy </w:t>
      </w:r>
      <w:r w:rsidR="00F830F6">
        <w:br/>
      </w:r>
      <w:r w:rsidRPr="006F0875">
        <w:t xml:space="preserve">w rodzinie oraz ochrony ofiar przemocy w rodzinie; </w:t>
      </w:r>
    </w:p>
    <w:p w:rsidR="001F6895" w:rsidRPr="006F0875" w:rsidRDefault="001F6895" w:rsidP="006F0875">
      <w:pPr>
        <w:numPr>
          <w:ilvl w:val="0"/>
          <w:numId w:val="8"/>
        </w:numPr>
        <w:spacing w:after="60"/>
        <w:ind w:left="714" w:hanging="357"/>
      </w:pPr>
      <w:r w:rsidRPr="006F0875">
        <w:t xml:space="preserve">opracowanie i realizacja programów służących działaniom profilaktycznym mającym na celu udzielenie specjalistycznej pomocy, zwłaszcza w zakresie promowania </w:t>
      </w:r>
      <w:r w:rsidR="00F830F6">
        <w:br/>
      </w:r>
      <w:r w:rsidRPr="006F0875">
        <w:t xml:space="preserve">i wdrożenia prawidłowych metod wychowawczych w stosunku do dzieci w rodzinach zagrożonych przemocą w rodzinie; </w:t>
      </w:r>
    </w:p>
    <w:p w:rsidR="001F6895" w:rsidRPr="006F0875" w:rsidRDefault="001F6895" w:rsidP="006F0875">
      <w:pPr>
        <w:numPr>
          <w:ilvl w:val="0"/>
          <w:numId w:val="8"/>
        </w:numPr>
        <w:spacing w:after="60"/>
        <w:ind w:left="714" w:hanging="357"/>
      </w:pPr>
      <w:r w:rsidRPr="006F0875">
        <w:t xml:space="preserve">zapewnienie osobom dotkniętym przemocą w rodzinie miejsc w ośrodkach wsparcia; </w:t>
      </w:r>
    </w:p>
    <w:p w:rsidR="001F6895" w:rsidRPr="006F0875" w:rsidRDefault="001F6895" w:rsidP="00157B44">
      <w:pPr>
        <w:numPr>
          <w:ilvl w:val="0"/>
          <w:numId w:val="8"/>
        </w:numPr>
        <w:ind w:left="714" w:hanging="357"/>
      </w:pPr>
      <w:r w:rsidRPr="006F0875">
        <w:t xml:space="preserve">zapewnienie osobom dotkniętym przemocą w rodzinie miejsc w ośrodkach interwencji kryzysowej. </w:t>
      </w:r>
    </w:p>
    <w:p w:rsidR="00E561C5" w:rsidRDefault="00E561C5" w:rsidP="00E561C5">
      <w:r w:rsidRPr="006F0875">
        <w:t xml:space="preserve">Art. 6 ust. 4 wskazuje natomiast zadania z zakresu administracji rządowej realizowane przez powiat, tj.  tworzenie i prowadzenie specjalistycznych ośrodków wsparcia dla ofiar przemocy </w:t>
      </w:r>
      <w:r w:rsidRPr="006F0875">
        <w:lastRenderedPageBreak/>
        <w:t>w rodzinie oraz opracowywanie i realizacja programów oddziaływań korekcyjno-edukacyjnych dla osób stosujących przemoc w rodzinie.</w:t>
      </w:r>
    </w:p>
    <w:p w:rsidR="00C50BA7" w:rsidRPr="006F0875" w:rsidRDefault="00C50BA7" w:rsidP="00C50BA7">
      <w:pPr>
        <w:pStyle w:val="Nagwek2"/>
        <w:numPr>
          <w:ilvl w:val="1"/>
          <w:numId w:val="24"/>
        </w:numPr>
        <w:ind w:left="567" w:hanging="567"/>
      </w:pPr>
      <w:bookmarkStart w:id="4" w:name="_Toc86158830"/>
      <w:r w:rsidRPr="00C50BA7">
        <w:t>Zgodność z dokumentami strategicznymi i programowymi</w:t>
      </w:r>
      <w:bookmarkEnd w:id="4"/>
    </w:p>
    <w:p w:rsidR="00C50BA7" w:rsidRPr="001037EE" w:rsidRDefault="00C50BA7" w:rsidP="00C50BA7">
      <w:pPr>
        <w:spacing w:after="60"/>
        <w:rPr>
          <w:bCs/>
        </w:rPr>
      </w:pPr>
      <w:r w:rsidRPr="001037EE">
        <w:rPr>
          <w:szCs w:val="24"/>
        </w:rPr>
        <w:t>O</w:t>
      </w:r>
      <w:r w:rsidRPr="001037EE">
        <w:rPr>
          <w:bCs/>
        </w:rPr>
        <w:t xml:space="preserve">bok uregulowań prawnych, które wytyczają ramy możliwych działań w zakresie przeciwdziałania przemocy w rodzinie, należy również uwzględnić założenia dokumentów strategicznych i programowych różnych szczebli, wskazujących główne cele i kierunki polityki społecznej w tym obszarze. </w:t>
      </w:r>
      <w:bookmarkStart w:id="5" w:name="_Hlk85374052"/>
      <w:r w:rsidRPr="001037EE">
        <w:rPr>
          <w:bCs/>
        </w:rPr>
        <w:t xml:space="preserve">W czasie opracowywania niniejszego dokumentu obowiązywał </w:t>
      </w:r>
      <w:r w:rsidRPr="001037EE">
        <w:rPr>
          <w:bCs/>
          <w:i/>
          <w:iCs/>
        </w:rPr>
        <w:t>Krajowy Program Przeciwdziałania Przemocy w Rodzinie na rok 2021</w:t>
      </w:r>
      <w:r w:rsidRPr="001037EE">
        <w:rPr>
          <w:bCs/>
        </w:rPr>
        <w:t xml:space="preserve">. Jego głównym celem jest zwiększenie skuteczności przeciwdziałania przemocy w rodzinie oraz zmniejszenie skali tego zjawiska w Polsce. Cele szczegółowe </w:t>
      </w:r>
      <w:r w:rsidR="00E5024E">
        <w:rPr>
          <w:bCs/>
        </w:rPr>
        <w:t xml:space="preserve">ww. Programu </w:t>
      </w:r>
      <w:r w:rsidRPr="001037EE">
        <w:rPr>
          <w:bCs/>
        </w:rPr>
        <w:t>są następujące:</w:t>
      </w:r>
    </w:p>
    <w:p w:rsidR="00C50BA7" w:rsidRPr="001037EE" w:rsidRDefault="00C50BA7" w:rsidP="00C50BA7">
      <w:pPr>
        <w:numPr>
          <w:ilvl w:val="0"/>
          <w:numId w:val="28"/>
        </w:numPr>
        <w:spacing w:after="60"/>
        <w:rPr>
          <w:bCs/>
        </w:rPr>
      </w:pPr>
      <w:r w:rsidRPr="001037EE">
        <w:rPr>
          <w:bCs/>
        </w:rPr>
        <w:t>Zintensyfikowanie działań profilaktycznych w zakresie przeciwdziałania przemocy w rodzinie.</w:t>
      </w:r>
    </w:p>
    <w:p w:rsidR="00C50BA7" w:rsidRPr="001037EE" w:rsidRDefault="00C50BA7" w:rsidP="00C50BA7">
      <w:pPr>
        <w:numPr>
          <w:ilvl w:val="0"/>
          <w:numId w:val="28"/>
        </w:numPr>
        <w:spacing w:after="60"/>
        <w:rPr>
          <w:bCs/>
          <w:iCs/>
        </w:rPr>
      </w:pPr>
      <w:r w:rsidRPr="001037EE">
        <w:rPr>
          <w:bCs/>
          <w:iCs/>
        </w:rPr>
        <w:t>Zwiększenie dostępności i skuteczności ochrony oraz wsparcia osób dotkniętych przemocą w rodzinie</w:t>
      </w:r>
      <w:r w:rsidR="00E5024E">
        <w:rPr>
          <w:bCs/>
          <w:iCs/>
        </w:rPr>
        <w:t>.</w:t>
      </w:r>
    </w:p>
    <w:p w:rsidR="00C50BA7" w:rsidRPr="001037EE" w:rsidRDefault="00C50BA7" w:rsidP="00C50BA7">
      <w:pPr>
        <w:numPr>
          <w:ilvl w:val="0"/>
          <w:numId w:val="28"/>
        </w:numPr>
        <w:spacing w:after="60"/>
        <w:rPr>
          <w:bCs/>
        </w:rPr>
      </w:pPr>
      <w:r w:rsidRPr="001037EE">
        <w:rPr>
          <w:bCs/>
        </w:rPr>
        <w:t>Zwiększenie skuteczności oddziaływań wobec osób stosujących przemoc w rodzinie.</w:t>
      </w:r>
    </w:p>
    <w:p w:rsidR="00C50BA7" w:rsidRPr="00AE0274" w:rsidRDefault="00C50BA7" w:rsidP="00C50BA7">
      <w:pPr>
        <w:numPr>
          <w:ilvl w:val="0"/>
          <w:numId w:val="28"/>
        </w:numPr>
        <w:ind w:left="714" w:hanging="357"/>
        <w:rPr>
          <w:bCs/>
        </w:rPr>
      </w:pPr>
      <w:r w:rsidRPr="001037EE">
        <w:rPr>
          <w:bCs/>
        </w:rPr>
        <w:t xml:space="preserve">Zwiększenie poziomu kompetencji przedstawicieli instytucji i podmiotów realizujących zadania z zakresu przeciwdziałania przemocy w rodzinie w celu podniesienia jakości i </w:t>
      </w:r>
      <w:r w:rsidRPr="00AE0274">
        <w:rPr>
          <w:bCs/>
        </w:rPr>
        <w:t>dostępności świadczonych usług.</w:t>
      </w:r>
    </w:p>
    <w:p w:rsidR="00C50BA7" w:rsidRPr="00AE0274" w:rsidRDefault="00C50BA7" w:rsidP="00C50BA7">
      <w:pPr>
        <w:spacing w:after="0"/>
      </w:pPr>
      <w:r w:rsidRPr="00AE0274">
        <w:t>Powyższe cele odnoszą się do czterech obszarów oddziaływań, w ramach których określono odrębną grupę ich adresatów:</w:t>
      </w:r>
    </w:p>
    <w:p w:rsidR="00C50BA7" w:rsidRPr="00AE0274" w:rsidRDefault="00C50BA7" w:rsidP="00C50BA7">
      <w:pPr>
        <w:pStyle w:val="Akapitzlist"/>
        <w:numPr>
          <w:ilvl w:val="0"/>
          <w:numId w:val="29"/>
        </w:numPr>
        <w:spacing w:after="0"/>
      </w:pPr>
      <w:r w:rsidRPr="00AE0274">
        <w:t xml:space="preserve">Profilaktyka, diagnoza społeczna i edukacja społeczna – ogół społeczeństwa. </w:t>
      </w:r>
    </w:p>
    <w:p w:rsidR="00C50BA7" w:rsidRPr="00AE0274" w:rsidRDefault="00C50BA7" w:rsidP="00C50BA7">
      <w:pPr>
        <w:pStyle w:val="Akapitzlist"/>
        <w:numPr>
          <w:ilvl w:val="0"/>
          <w:numId w:val="29"/>
        </w:numPr>
        <w:spacing w:after="0"/>
      </w:pPr>
      <w:r w:rsidRPr="00AE0274">
        <w:t xml:space="preserve">Ochrona i pomoc osobom dotkniętym przemocą w rodzinie – osoby dotknięte przemocą w rodzinie, w tym kobiety, mężczyźni, dzieci, współmałżonkowie </w:t>
      </w:r>
      <w:r w:rsidR="00E5024E">
        <w:t xml:space="preserve">                              </w:t>
      </w:r>
      <w:r w:rsidRPr="00AE0274">
        <w:t xml:space="preserve">lub partnerzy w związkach nieformalnych, osoby starsze, osoby </w:t>
      </w:r>
      <w:r w:rsidR="00E5024E">
        <w:t xml:space="preserve">                                                       </w:t>
      </w:r>
      <w:r w:rsidRPr="00AE0274">
        <w:t xml:space="preserve">z </w:t>
      </w:r>
      <w:proofErr w:type="spellStart"/>
      <w:r w:rsidRPr="00AE0274">
        <w:t>niepełnosprawnościami</w:t>
      </w:r>
      <w:proofErr w:type="spellEnd"/>
      <w:r w:rsidRPr="00AE0274">
        <w:t xml:space="preserve"> lub osoby niesamodzielne, a także służby lub podmioty zajmujące się ochroną i pomocą osobom dotkniętym przemocą. </w:t>
      </w:r>
    </w:p>
    <w:p w:rsidR="00C50BA7" w:rsidRPr="00AE0274" w:rsidRDefault="00C50BA7" w:rsidP="00C50BA7">
      <w:pPr>
        <w:pStyle w:val="Akapitzlist"/>
        <w:numPr>
          <w:ilvl w:val="0"/>
          <w:numId w:val="29"/>
        </w:numPr>
        <w:spacing w:after="0"/>
      </w:pPr>
      <w:r w:rsidRPr="00AE0274">
        <w:t xml:space="preserve">Oddziaływanie na osoby stosujące przemoc w rodzinie – osoby stosujące przemoc </w:t>
      </w:r>
      <w:r w:rsidR="00F830F6">
        <w:br/>
      </w:r>
      <w:r w:rsidRPr="00AE0274">
        <w:t xml:space="preserve">w rodzinie, służby lub podmioty zajmujące się oddziaływaniem na osoby stosujące przemoc. </w:t>
      </w:r>
    </w:p>
    <w:p w:rsidR="00C50BA7" w:rsidRPr="00AE0274" w:rsidRDefault="00C50BA7" w:rsidP="00C50BA7">
      <w:pPr>
        <w:pStyle w:val="Akapitzlist"/>
        <w:numPr>
          <w:ilvl w:val="0"/>
          <w:numId w:val="29"/>
        </w:numPr>
        <w:ind w:left="714" w:hanging="357"/>
      </w:pPr>
      <w:r w:rsidRPr="00AE0274">
        <w:t xml:space="preserve">Podnoszenie kompetencji służb i przedstawicieli podmiotów realizujących działania </w:t>
      </w:r>
      <w:r w:rsidR="00F830F6">
        <w:br/>
      </w:r>
      <w:r w:rsidRPr="00AE0274">
        <w:t xml:space="preserve">z zakresu przeciwdziałania przemocy w rodzinie – przedstawiciele instytucji </w:t>
      </w:r>
      <w:r w:rsidR="00F830F6">
        <w:br/>
      </w:r>
      <w:r w:rsidRPr="00AE0274">
        <w:t>i podmiotów realizujących zadania z zakresu przeciwdziałania przemocy w rodzinie.</w:t>
      </w:r>
    </w:p>
    <w:p w:rsidR="00A916C8" w:rsidRDefault="00C50BA7" w:rsidP="00A916C8">
      <w:pPr>
        <w:spacing w:after="0"/>
        <w:rPr>
          <w:bCs/>
        </w:rPr>
      </w:pPr>
      <w:r>
        <w:rPr>
          <w:bCs/>
        </w:rPr>
        <w:t xml:space="preserve">Przeciwdziałanie przemocy w rodzinie stanowi jeden z kluczowych obszarów </w:t>
      </w:r>
      <w:r w:rsidRPr="00C50BA7">
        <w:rPr>
          <w:bCs/>
        </w:rPr>
        <w:t xml:space="preserve">oddziaływania </w:t>
      </w:r>
      <w:r w:rsidR="00F830F6">
        <w:rPr>
          <w:bCs/>
        </w:rPr>
        <w:br/>
      </w:r>
      <w:r w:rsidRPr="00C50BA7">
        <w:rPr>
          <w:bCs/>
        </w:rPr>
        <w:t xml:space="preserve">w ramach </w:t>
      </w:r>
      <w:r w:rsidRPr="00C50BA7">
        <w:rPr>
          <w:bCs/>
          <w:i/>
          <w:iCs/>
        </w:rPr>
        <w:t xml:space="preserve">Strategii polityki społecznej województwa </w:t>
      </w:r>
      <w:proofErr w:type="spellStart"/>
      <w:r w:rsidRPr="00C50BA7">
        <w:rPr>
          <w:bCs/>
          <w:i/>
          <w:iCs/>
        </w:rPr>
        <w:t>warmińsko-mazurskiego</w:t>
      </w:r>
      <w:proofErr w:type="spellEnd"/>
      <w:r w:rsidRPr="00C50BA7">
        <w:rPr>
          <w:bCs/>
          <w:i/>
          <w:iCs/>
        </w:rPr>
        <w:t xml:space="preserve"> na lata 2021-2030.</w:t>
      </w:r>
      <w:r w:rsidR="00E5024E">
        <w:rPr>
          <w:bCs/>
          <w:i/>
          <w:iCs/>
        </w:rPr>
        <w:t xml:space="preserve"> </w:t>
      </w:r>
      <w:r>
        <w:rPr>
          <w:bCs/>
        </w:rPr>
        <w:t xml:space="preserve">Odnoszący się do niego cel strategiczny brzmi: „Zintegrowanie i wzmacnianie działań na rzecz profilaktyki i rozwiązywania problemów związanych z uzależnieniami </w:t>
      </w:r>
      <w:r w:rsidR="00E5024E">
        <w:rPr>
          <w:bCs/>
        </w:rPr>
        <w:t xml:space="preserve">                                       </w:t>
      </w:r>
      <w:r>
        <w:rPr>
          <w:bCs/>
        </w:rPr>
        <w:t xml:space="preserve">oraz zjawiskiem przemocy”. Bezpośrednio zjawiska przemocy dotyczy cel operacyjny 4.3. „Zwiększanie wsparcia i ochrony osób zagrożonych i dotkniętych problemem przemocy </w:t>
      </w:r>
      <w:r w:rsidR="0012681B">
        <w:rPr>
          <w:bCs/>
        </w:rPr>
        <w:t xml:space="preserve">                           </w:t>
      </w:r>
      <w:r>
        <w:rPr>
          <w:bCs/>
        </w:rPr>
        <w:t>w rodzinie oraz wspieranie działań interwencyjnych, korekcyjnych i edukacyjnych wobec osób stosujących przemoc” oraz zaplanowane kierunki działań:</w:t>
      </w:r>
    </w:p>
    <w:p w:rsidR="00C50BA7" w:rsidRPr="00A916C8" w:rsidRDefault="00C50BA7" w:rsidP="00A916C8">
      <w:pPr>
        <w:pStyle w:val="Akapitzlist"/>
        <w:numPr>
          <w:ilvl w:val="0"/>
          <w:numId w:val="43"/>
        </w:numPr>
        <w:spacing w:after="0"/>
        <w:ind w:hanging="294"/>
        <w:rPr>
          <w:bCs/>
        </w:rPr>
      </w:pPr>
      <w:r w:rsidRPr="00A916C8">
        <w:rPr>
          <w:bCs/>
        </w:rPr>
        <w:t>wspieranie tworzenia „Przyjaznych Pokoi Przesłuchań Dzieci”;</w:t>
      </w:r>
    </w:p>
    <w:p w:rsidR="00C50BA7" w:rsidRDefault="00C50BA7" w:rsidP="00C50BA7">
      <w:pPr>
        <w:numPr>
          <w:ilvl w:val="0"/>
          <w:numId w:val="30"/>
        </w:numPr>
        <w:spacing w:after="0"/>
        <w:ind w:left="709" w:hanging="283"/>
        <w:rPr>
          <w:bCs/>
        </w:rPr>
      </w:pPr>
      <w:r>
        <w:rPr>
          <w:bCs/>
        </w:rPr>
        <w:t>w</w:t>
      </w:r>
      <w:r w:rsidRPr="00C50BA7">
        <w:rPr>
          <w:bCs/>
        </w:rPr>
        <w:t xml:space="preserve">zmacnianie systemu motywowania i kierowania sprawców do udziału </w:t>
      </w:r>
      <w:r w:rsidR="0012681B">
        <w:rPr>
          <w:bCs/>
        </w:rPr>
        <w:t xml:space="preserve">                                                     </w:t>
      </w:r>
      <w:r w:rsidRPr="00C50BA7">
        <w:rPr>
          <w:bCs/>
        </w:rPr>
        <w:t>w programach korekcyjno-edukacyjnych</w:t>
      </w:r>
      <w:r>
        <w:rPr>
          <w:bCs/>
        </w:rPr>
        <w:t>;</w:t>
      </w:r>
    </w:p>
    <w:p w:rsidR="00C50BA7" w:rsidRDefault="00C50BA7" w:rsidP="00C50BA7">
      <w:pPr>
        <w:numPr>
          <w:ilvl w:val="0"/>
          <w:numId w:val="30"/>
        </w:numPr>
        <w:spacing w:after="0"/>
        <w:ind w:left="709" w:hanging="283"/>
        <w:rPr>
          <w:bCs/>
        </w:rPr>
      </w:pPr>
      <w:r w:rsidRPr="00C50BA7">
        <w:rPr>
          <w:bCs/>
        </w:rPr>
        <w:lastRenderedPageBreak/>
        <w:t>wzmacnianie rozwoju różnorodnych form pomocy psychiatrycznej, psychologicznej oraz infrastruktury pomocowej dla osób zagrożonych i dotkniętych problemem przemocy w rodzinie</w:t>
      </w:r>
      <w:r>
        <w:rPr>
          <w:bCs/>
        </w:rPr>
        <w:t xml:space="preserve">; </w:t>
      </w:r>
    </w:p>
    <w:p w:rsidR="00C50BA7" w:rsidRPr="00C50BA7" w:rsidRDefault="00C50BA7" w:rsidP="00C50BA7">
      <w:pPr>
        <w:numPr>
          <w:ilvl w:val="0"/>
          <w:numId w:val="30"/>
        </w:numPr>
        <w:ind w:left="709" w:hanging="284"/>
        <w:rPr>
          <w:bCs/>
        </w:rPr>
      </w:pPr>
      <w:r>
        <w:rPr>
          <w:bCs/>
        </w:rPr>
        <w:t>i</w:t>
      </w:r>
      <w:r w:rsidRPr="00C50BA7">
        <w:rPr>
          <w:bCs/>
        </w:rPr>
        <w:t xml:space="preserve">nicjowanie i przeprowadzanie kampanii społecznych mobilizujących społeczność </w:t>
      </w:r>
      <w:r w:rsidR="002073CA">
        <w:rPr>
          <w:bCs/>
        </w:rPr>
        <w:t xml:space="preserve">                          </w:t>
      </w:r>
      <w:r w:rsidRPr="00C50BA7">
        <w:rPr>
          <w:bCs/>
        </w:rPr>
        <w:t xml:space="preserve">do aktywnego przeciwstawiania się przemocy w rodzinie, w tym m.in. Dni Walki </w:t>
      </w:r>
      <w:r w:rsidR="00F830F6">
        <w:rPr>
          <w:bCs/>
        </w:rPr>
        <w:br/>
      </w:r>
      <w:r w:rsidRPr="00C50BA7">
        <w:rPr>
          <w:bCs/>
        </w:rPr>
        <w:t>z Przemocą „Biała Wstążka” oraz akcja „Otwarte Drzwi”.</w:t>
      </w:r>
    </w:p>
    <w:p w:rsidR="00C50BA7" w:rsidRPr="00AE0274" w:rsidRDefault="00C50BA7" w:rsidP="00C50BA7">
      <w:pPr>
        <w:spacing w:after="0"/>
        <w:rPr>
          <w:bCs/>
          <w:iCs/>
        </w:rPr>
      </w:pPr>
      <w:r w:rsidRPr="00AE0274">
        <w:rPr>
          <w:bCs/>
        </w:rPr>
        <w:t xml:space="preserve">W dniu 5 stycznia 2021 roku Zarząd Województwa Warmińsko-Mazurskiego przyjął </w:t>
      </w:r>
      <w:r w:rsidR="002073CA">
        <w:rPr>
          <w:bCs/>
        </w:rPr>
        <w:t xml:space="preserve">                                                     </w:t>
      </w:r>
      <w:r w:rsidRPr="00AE0274">
        <w:rPr>
          <w:bCs/>
        </w:rPr>
        <w:t xml:space="preserve">do realizacji </w:t>
      </w:r>
      <w:r w:rsidRPr="00AE0274">
        <w:rPr>
          <w:bCs/>
          <w:i/>
        </w:rPr>
        <w:t xml:space="preserve">Wojewódzki Program Przeciwdziałania Przemocy w Rodzinie w Województwie Warmińsko-Mazurskim na lata 2021-2026. </w:t>
      </w:r>
      <w:r w:rsidRPr="00AE0274">
        <w:rPr>
          <w:bCs/>
          <w:iCs/>
        </w:rPr>
        <w:t>Cel główny tego Programu to „Zmniejszenie skali zjawiska przemocy w rodzinie w województwie warmińsko-mazurskim”. Jego realizacji mają służyć cele szczegółowe:</w:t>
      </w:r>
    </w:p>
    <w:p w:rsidR="00C50BA7" w:rsidRPr="00AE0274" w:rsidRDefault="00C50BA7" w:rsidP="00C50BA7">
      <w:pPr>
        <w:pStyle w:val="Akapitzlist"/>
        <w:numPr>
          <w:ilvl w:val="0"/>
          <w:numId w:val="27"/>
        </w:numPr>
        <w:spacing w:after="60"/>
        <w:contextualSpacing w:val="0"/>
        <w:rPr>
          <w:bCs/>
          <w:iCs/>
        </w:rPr>
      </w:pPr>
      <w:r w:rsidRPr="00AE0274">
        <w:rPr>
          <w:bCs/>
          <w:iCs/>
        </w:rPr>
        <w:t xml:space="preserve">Zwiększenie skuteczności działań profilaktycznych, edukacyjnych i wychowawczych </w:t>
      </w:r>
      <w:r w:rsidR="00F830F6">
        <w:rPr>
          <w:bCs/>
          <w:iCs/>
        </w:rPr>
        <w:br/>
      </w:r>
      <w:r w:rsidRPr="00AE0274">
        <w:rPr>
          <w:bCs/>
          <w:iCs/>
        </w:rPr>
        <w:t>w zakresie przeciwdziałania przemocy w rodzinie.</w:t>
      </w:r>
    </w:p>
    <w:p w:rsidR="00C50BA7" w:rsidRPr="00AE0274" w:rsidRDefault="00C50BA7" w:rsidP="00C50BA7">
      <w:pPr>
        <w:pStyle w:val="Akapitzlist"/>
        <w:numPr>
          <w:ilvl w:val="0"/>
          <w:numId w:val="27"/>
        </w:numPr>
        <w:spacing w:after="60"/>
        <w:contextualSpacing w:val="0"/>
        <w:rPr>
          <w:bCs/>
          <w:iCs/>
        </w:rPr>
      </w:pPr>
      <w:r w:rsidRPr="00AE0274">
        <w:rPr>
          <w:bCs/>
          <w:iCs/>
        </w:rPr>
        <w:t>Zwiększenie skuteczności ochrony ofiar przemocy w rodzinie i zwiększenie dostępności pomocy.</w:t>
      </w:r>
    </w:p>
    <w:p w:rsidR="00C50BA7" w:rsidRPr="00AE0274" w:rsidRDefault="00C50BA7" w:rsidP="00C50BA7">
      <w:pPr>
        <w:pStyle w:val="Akapitzlist"/>
        <w:numPr>
          <w:ilvl w:val="0"/>
          <w:numId w:val="27"/>
        </w:numPr>
        <w:spacing w:after="60"/>
        <w:contextualSpacing w:val="0"/>
        <w:rPr>
          <w:bCs/>
          <w:iCs/>
        </w:rPr>
      </w:pPr>
      <w:r w:rsidRPr="00AE0274">
        <w:rPr>
          <w:bCs/>
          <w:iCs/>
        </w:rPr>
        <w:t>Zwiększenie skuteczności działań interwencyjnych, korekcyjnych i edukacyjnych wobec osób stosujących przemoc.</w:t>
      </w:r>
    </w:p>
    <w:p w:rsidR="00C50BA7" w:rsidRPr="00AE0274" w:rsidRDefault="00C50BA7" w:rsidP="00C50BA7">
      <w:pPr>
        <w:pStyle w:val="Akapitzlist"/>
        <w:numPr>
          <w:ilvl w:val="0"/>
          <w:numId w:val="27"/>
        </w:numPr>
        <w:spacing w:after="60"/>
        <w:contextualSpacing w:val="0"/>
        <w:rPr>
          <w:bCs/>
          <w:iCs/>
        </w:rPr>
      </w:pPr>
      <w:r w:rsidRPr="00AE0274">
        <w:rPr>
          <w:bCs/>
          <w:iCs/>
        </w:rPr>
        <w:t>Podniesienie kompetencji i doskonalenie umiejętności osób pracujących w obszarze przeciwdziałania przemocy w rodzinie.</w:t>
      </w:r>
    </w:p>
    <w:p w:rsidR="00C50BA7" w:rsidRPr="00C50BA7" w:rsidRDefault="00C50BA7" w:rsidP="00C50BA7">
      <w:pPr>
        <w:pStyle w:val="Akapitzlist"/>
        <w:numPr>
          <w:ilvl w:val="0"/>
          <w:numId w:val="27"/>
        </w:numPr>
        <w:ind w:left="714" w:hanging="357"/>
        <w:contextualSpacing w:val="0"/>
        <w:rPr>
          <w:bCs/>
          <w:iCs/>
        </w:rPr>
      </w:pPr>
      <w:r w:rsidRPr="00AE0274">
        <w:rPr>
          <w:bCs/>
          <w:iCs/>
        </w:rPr>
        <w:t xml:space="preserve">Wzmacnianie współpracy między instytucjami i organizacjami działającymi na rzecz </w:t>
      </w:r>
      <w:r w:rsidRPr="00C50BA7">
        <w:rPr>
          <w:bCs/>
          <w:iCs/>
        </w:rPr>
        <w:t>przeciwdziałania przemocy w rodzinie w województwie warmińsko-mazurskim.</w:t>
      </w:r>
    </w:p>
    <w:p w:rsidR="004D19B3" w:rsidRPr="00C50BA7" w:rsidRDefault="00530E6B" w:rsidP="004D19B3">
      <w:pPr>
        <w:rPr>
          <w:bCs/>
        </w:rPr>
      </w:pPr>
      <w:r w:rsidRPr="00C50BA7">
        <w:rPr>
          <w:bCs/>
        </w:rPr>
        <w:t>Program jest zgodny również ze</w:t>
      </w:r>
      <w:r w:rsidR="00C168DE">
        <w:rPr>
          <w:bCs/>
        </w:rPr>
        <w:t xml:space="preserve"> </w:t>
      </w:r>
      <w:r w:rsidR="001F6895" w:rsidRPr="00C50BA7">
        <w:rPr>
          <w:bCs/>
          <w:i/>
        </w:rPr>
        <w:t>Strategi</w:t>
      </w:r>
      <w:r w:rsidR="00A916C8">
        <w:rPr>
          <w:bCs/>
          <w:i/>
        </w:rPr>
        <w:t>ą</w:t>
      </w:r>
      <w:r w:rsidR="001F6895" w:rsidRPr="00C50BA7">
        <w:rPr>
          <w:bCs/>
          <w:i/>
        </w:rPr>
        <w:t xml:space="preserve"> rozwiązywania problemów społecznych powiatu lidzbarskiego na lata 2016-2023.</w:t>
      </w:r>
      <w:r w:rsidR="00C168DE">
        <w:rPr>
          <w:bCs/>
          <w:i/>
        </w:rPr>
        <w:t xml:space="preserve"> </w:t>
      </w:r>
      <w:r w:rsidR="00AF08AD" w:rsidRPr="00C50BA7">
        <w:rPr>
          <w:bCs/>
        </w:rPr>
        <w:t>Jej główny cel stanowi „</w:t>
      </w:r>
      <w:r w:rsidR="004D19B3" w:rsidRPr="00C50BA7">
        <w:rPr>
          <w:bCs/>
        </w:rPr>
        <w:t>Poprawa warunków i jakości życia w powiecie lidzbarskim</w:t>
      </w:r>
      <w:r w:rsidR="00AF08AD" w:rsidRPr="00C50BA7">
        <w:rPr>
          <w:bCs/>
        </w:rPr>
        <w:t>”</w:t>
      </w:r>
      <w:r w:rsidR="00E560CD" w:rsidRPr="00C50BA7">
        <w:rPr>
          <w:bCs/>
        </w:rPr>
        <w:t xml:space="preserve">, </w:t>
      </w:r>
      <w:r w:rsidR="004D19B3" w:rsidRPr="00C50BA7">
        <w:rPr>
          <w:bCs/>
        </w:rPr>
        <w:t xml:space="preserve">a jego realizacji służy siedem celów szczegółowych w siedmiu obszarach interwencji (rynek pracy i zatrudnienie; wsparcie rodziny; rozwój dzieci </w:t>
      </w:r>
      <w:r w:rsidR="00C168DE">
        <w:rPr>
          <w:bCs/>
        </w:rPr>
        <w:t xml:space="preserve">                                                   </w:t>
      </w:r>
      <w:r w:rsidR="004D19B3" w:rsidRPr="00C50BA7">
        <w:rPr>
          <w:bCs/>
        </w:rPr>
        <w:t xml:space="preserve">i młodzieży; integracja osób z niepełnosprawnością; aktywność seniorów; zdrowie społeczeństwa; </w:t>
      </w:r>
      <w:r w:rsidR="00C168DE">
        <w:rPr>
          <w:bCs/>
        </w:rPr>
        <w:t>bezpieczeństwo publiczne). Cele szczegółowe są</w:t>
      </w:r>
      <w:r w:rsidR="004D19B3" w:rsidRPr="00C50BA7">
        <w:rPr>
          <w:bCs/>
        </w:rPr>
        <w:t xml:space="preserve"> następujące: 1) Wzrost aktywności zawodowej mieszkańców; 2) Poprawa wypełniania funkcji przez rodziny;</w:t>
      </w:r>
      <w:r w:rsidR="00C168DE">
        <w:rPr>
          <w:bCs/>
        </w:rPr>
        <w:t xml:space="preserve">                               </w:t>
      </w:r>
      <w:r w:rsidR="004D19B3" w:rsidRPr="00C50BA7">
        <w:rPr>
          <w:bCs/>
        </w:rPr>
        <w:t xml:space="preserve"> 3) Zwiększenie szans życiowych dzieci i młodzieży; 4) </w:t>
      </w:r>
      <w:r w:rsidR="004D19B3" w:rsidRPr="00C50BA7">
        <w:t xml:space="preserve">Poprawa jakości życia osób </w:t>
      </w:r>
      <w:r w:rsidR="00C168DE">
        <w:t xml:space="preserve">                                      </w:t>
      </w:r>
      <w:r w:rsidR="004D19B3" w:rsidRPr="00C50BA7">
        <w:t>z niepełnosprawnością; 5) Podniesienie standardów życia osób starszych; 6) Poprawa zdrowia fizycznego i psychicznego ludności; oraz 7) Poprawa stanu bezpieczeństwa publicznego.</w:t>
      </w:r>
    </w:p>
    <w:p w:rsidR="00774626" w:rsidRDefault="004D19B3" w:rsidP="00F145ED">
      <w:pPr>
        <w:spacing w:after="0"/>
        <w:rPr>
          <w:bCs/>
        </w:rPr>
      </w:pPr>
      <w:r w:rsidRPr="00C50BA7">
        <w:rPr>
          <w:bCs/>
        </w:rPr>
        <w:t>D</w:t>
      </w:r>
      <w:r w:rsidR="00E560CD" w:rsidRPr="00C50BA7">
        <w:rPr>
          <w:bCs/>
        </w:rPr>
        <w:t>ziałania w zakresie przeciwdziałania p</w:t>
      </w:r>
      <w:r w:rsidR="00530E6B" w:rsidRPr="00C50BA7">
        <w:rPr>
          <w:bCs/>
        </w:rPr>
        <w:t xml:space="preserve">rzemocy w rodzinie wpisują się bezpośrednio w </w:t>
      </w:r>
      <w:r w:rsidRPr="00C50BA7">
        <w:rPr>
          <w:bCs/>
        </w:rPr>
        <w:t>cel szczegółowy 2.</w:t>
      </w:r>
      <w:r w:rsidR="00530E6B" w:rsidRPr="00C50BA7">
        <w:rPr>
          <w:bCs/>
        </w:rPr>
        <w:t xml:space="preserve"> „</w:t>
      </w:r>
      <w:r w:rsidRPr="00C50BA7">
        <w:rPr>
          <w:bCs/>
        </w:rPr>
        <w:t>Poprawa wypełniania funkcji przez rodziny</w:t>
      </w:r>
      <w:r w:rsidR="00530E6B" w:rsidRPr="00C50BA7">
        <w:rPr>
          <w:bCs/>
        </w:rPr>
        <w:t xml:space="preserve">” </w:t>
      </w:r>
      <w:r w:rsidRPr="00C50BA7">
        <w:rPr>
          <w:bCs/>
        </w:rPr>
        <w:t>i</w:t>
      </w:r>
      <w:r w:rsidR="00C168DE">
        <w:rPr>
          <w:bCs/>
        </w:rPr>
        <w:t xml:space="preserve"> </w:t>
      </w:r>
      <w:r w:rsidRPr="00C50BA7">
        <w:rPr>
          <w:bCs/>
        </w:rPr>
        <w:t xml:space="preserve">cel operacyjny </w:t>
      </w:r>
      <w:r w:rsidR="00C168DE">
        <w:rPr>
          <w:bCs/>
        </w:rPr>
        <w:t xml:space="preserve">                                     </w:t>
      </w:r>
      <w:r w:rsidRPr="00C50BA7">
        <w:rPr>
          <w:bCs/>
        </w:rPr>
        <w:t xml:space="preserve">2.2 „Zmniejszenie częstości występowania przemocy i kryzysów w rodzinie”, a także cel szczegółowy 3. „Zwiększenie szans życiowych dzieci i młodzieży” i cel operacyjny </w:t>
      </w:r>
      <w:r w:rsidR="00C168DE">
        <w:rPr>
          <w:bCs/>
        </w:rPr>
        <w:t xml:space="preserve">                                              </w:t>
      </w:r>
      <w:r w:rsidRPr="00C50BA7">
        <w:rPr>
          <w:bCs/>
        </w:rPr>
        <w:t>3.3 „Przeciwdziałanie zachowaniom ryzykownym wśród młodzieży”.</w:t>
      </w:r>
    </w:p>
    <w:bookmarkEnd w:id="5"/>
    <w:p w:rsidR="00C50BA7" w:rsidRPr="00C50BA7" w:rsidRDefault="00C50BA7" w:rsidP="00F145ED">
      <w:pPr>
        <w:spacing w:after="0"/>
        <w:rPr>
          <w:bCs/>
        </w:rPr>
      </w:pPr>
    </w:p>
    <w:p w:rsidR="00F472F9" w:rsidRPr="00AD3BBD" w:rsidRDefault="00C50BA7" w:rsidP="00C50BA7">
      <w:pPr>
        <w:pStyle w:val="Nagwek1"/>
        <w:numPr>
          <w:ilvl w:val="0"/>
          <w:numId w:val="24"/>
        </w:numPr>
        <w:ind w:left="284" w:hanging="284"/>
      </w:pPr>
      <w:r>
        <w:rPr>
          <w:highlight w:val="yellow"/>
        </w:rPr>
        <w:br w:type="page"/>
      </w:r>
      <w:bookmarkStart w:id="6" w:name="_Toc86158831"/>
      <w:r w:rsidR="00F472F9" w:rsidRPr="00AD3BBD">
        <w:lastRenderedPageBreak/>
        <w:t xml:space="preserve">Diagnoza </w:t>
      </w:r>
      <w:r w:rsidR="00F145ED" w:rsidRPr="00AD3BBD">
        <w:t xml:space="preserve">zjawiska przemocy </w:t>
      </w:r>
      <w:r w:rsidR="00D2601A" w:rsidRPr="00AD3BBD">
        <w:t xml:space="preserve">w rodzinie w </w:t>
      </w:r>
      <w:r w:rsidR="00B62BE6" w:rsidRPr="00AD3BBD">
        <w:t>p</w:t>
      </w:r>
      <w:r w:rsidR="00F145ED" w:rsidRPr="00AD3BBD">
        <w:t xml:space="preserve">owiecie </w:t>
      </w:r>
      <w:r w:rsidR="00B62BE6" w:rsidRPr="00AD3BBD">
        <w:t>l</w:t>
      </w:r>
      <w:r w:rsidR="00F145ED" w:rsidRPr="00AD3BBD">
        <w:t>idzbarskim</w:t>
      </w:r>
      <w:bookmarkEnd w:id="6"/>
    </w:p>
    <w:p w:rsidR="00AD3BBD" w:rsidRPr="00AD3BBD" w:rsidRDefault="00AD3BBD" w:rsidP="00AD3BBD">
      <w:pPr>
        <w:pStyle w:val="Nagwek2"/>
        <w:numPr>
          <w:ilvl w:val="1"/>
          <w:numId w:val="24"/>
        </w:numPr>
        <w:ind w:left="284" w:hanging="284"/>
      </w:pPr>
      <w:bookmarkStart w:id="7" w:name="_Toc86158832"/>
      <w:r w:rsidRPr="00AD3BBD">
        <w:t>Ogólna sytuacja społeczna w powiecie</w:t>
      </w:r>
      <w:bookmarkEnd w:id="7"/>
    </w:p>
    <w:p w:rsidR="00AD3BBD" w:rsidRDefault="00AD3BBD" w:rsidP="00AD3BBD">
      <w:r w:rsidRPr="00AD3BBD">
        <w:t xml:space="preserve">W 2020 roku powiat lidzbarski zamieszkiwało 40 852 osób, z których 9,2% funkcjonowało </w:t>
      </w:r>
      <w:r w:rsidR="00F830F6">
        <w:br/>
      </w:r>
      <w:r w:rsidRPr="00AD3BBD">
        <w:t xml:space="preserve">w rodzinach, które korzystały ze świadczeń pomocy społecznej (1 753 rodziny; 3 760 osób </w:t>
      </w:r>
      <w:r w:rsidR="00F830F6">
        <w:br/>
      </w:r>
      <w:r w:rsidRPr="00AD3BBD">
        <w:t xml:space="preserve">w rodzinach). Skala korzystania przez mieszkańców z pomocy społecznej w poszczególnych gminach wykazuje dość niewielkie zróżnicowanie. W 2020 roku największy odsetek mieszkańców żył w rodzinach korzystających ze świadczeń w gminie Lubomino (11,84%), </w:t>
      </w:r>
      <w:r w:rsidR="00F830F6">
        <w:br/>
      </w:r>
      <w:r w:rsidRPr="00AD3BBD">
        <w:t xml:space="preserve">a w dalszej kolejności w gminie Orneta (10,42%). Na podobnym poziomie ukształtował </w:t>
      </w:r>
      <w:r w:rsidR="00494CB1">
        <w:t xml:space="preserve">                         </w:t>
      </w:r>
      <w:r w:rsidRPr="00AD3BBD">
        <w:t xml:space="preserve">się w gminie wiejskiej Lidzbark Warmiński i gminie Kiwity (odpowiednio 9,67% i 9,07%), </w:t>
      </w:r>
      <w:r w:rsidR="00494CB1">
        <w:t xml:space="preserve">                         </w:t>
      </w:r>
      <w:r w:rsidRPr="00AD3BBD">
        <w:t xml:space="preserve">na najniższym natomiast w Lidzbarku Warmińskim (7,50%). </w:t>
      </w:r>
    </w:p>
    <w:p w:rsidR="00AD3BBD" w:rsidRPr="00AD3BBD" w:rsidRDefault="00AD3BBD" w:rsidP="00AD3BBD">
      <w:pPr>
        <w:rPr>
          <w:highlight w:val="yellow"/>
        </w:rPr>
      </w:pPr>
      <w:r>
        <w:t>W ostatnich latach skala świadczeń udzielanych przez ośrodki pomocy społecznej mieszkańcom gmin zmniejszyła się. S</w:t>
      </w:r>
      <w:r w:rsidRPr="00670D50">
        <w:t xml:space="preserve">powodowane </w:t>
      </w:r>
      <w:r>
        <w:t xml:space="preserve">to było </w:t>
      </w:r>
      <w:r w:rsidRPr="00670D50">
        <w:t xml:space="preserve">z jednej strony usamodzielnianiem się podopiecznych i ich odchodzeniem z systemu pomocy społecznej dzięki np. podjęciu zatrudnienia lub otrzymaniu świadczeń emerytalno-rentowych, </w:t>
      </w:r>
      <w:r w:rsidR="00494CB1">
        <w:t xml:space="preserve">                                    </w:t>
      </w:r>
      <w:r w:rsidRPr="00670D50">
        <w:t xml:space="preserve">a z drugiej strony – zmianą dochodów osób i rodzin, wypływającą na zmniejszenie wysokości świadczeń lub utratę praw do zasiłku z powodu przekroczenia kryterium dochodowego, </w:t>
      </w:r>
      <w:r w:rsidR="00494CB1">
        <w:t xml:space="preserve">                       </w:t>
      </w:r>
      <w:r w:rsidRPr="00670D50">
        <w:t xml:space="preserve">ze względu np. na otrzymanie wynagrodzenia za pracę. Ważne jest tu również świadczenie wychowawcze Rodzina 500+, które spowodowało, iż część rodzin zrezygnowała ze wsparcia, ze względu na poprawę ich sytuacji finansowej. Należy mieć jednak na uwadze, że sytuacja epidemiologiczna w </w:t>
      </w:r>
      <w:r w:rsidR="003F49CF">
        <w:t xml:space="preserve">latach </w:t>
      </w:r>
      <w:r w:rsidRPr="00670D50">
        <w:t>2020</w:t>
      </w:r>
      <w:r w:rsidR="003F49CF">
        <w:t>-2021</w:t>
      </w:r>
      <w:r w:rsidR="00494CB1">
        <w:t xml:space="preserve"> </w:t>
      </w:r>
      <w:r>
        <w:t>oraz</w:t>
      </w:r>
      <w:r w:rsidRPr="00670D50">
        <w:t xml:space="preserve"> związane z nią ograniczenia działalności wielu branż wpłynęły na zmianę sytuacji społeczno-ekonomicznej rodzin, co może skutkować zwiększeniem liczby osób korzystających z pomocy społecznej w najbliższych latach.</w:t>
      </w:r>
    </w:p>
    <w:p w:rsidR="00AD3BBD" w:rsidRDefault="00AD3BBD" w:rsidP="00AD3BBD">
      <w:r w:rsidRPr="00670D50">
        <w:t xml:space="preserve">Zgodnie z art. 7 ustawy o pomocy społecznej, pomoc ta udzielana jest osobom i rodzinom </w:t>
      </w:r>
      <w:r w:rsidRPr="00670D50">
        <w:br/>
        <w:t xml:space="preserve">w szczególności z następujących powodów: ubóstwo; sieroctwo; bezdomność; bezrobocie; długotrwała lub ciężka choroba; niepełnosprawność; przemoc w rodzinie; potrzeba ochrony ofiar handlu ludźmi; potrzeba ochrony macierzyństwa lub wielodzietności; bezradność </w:t>
      </w:r>
      <w:r w:rsidR="00F830F6">
        <w:br/>
      </w:r>
      <w:r w:rsidRPr="00670D50">
        <w:t xml:space="preserve">w sprawach opiekuńczo-wychowawczych i prowadzenia gospodarstwa domowego, zwłaszcza w rodzinach niepełnych lub wielodzietnych; trudności w integracji cudzoziemców, którzy uzyskali w Rzeczypospolitej Polskiej status uchodźcy, ochronę uzupełniającą </w:t>
      </w:r>
      <w:r w:rsidR="00494CB1">
        <w:t xml:space="preserve">                                </w:t>
      </w:r>
      <w:r w:rsidRPr="00670D50">
        <w:t xml:space="preserve">lub zezwolenie na pobyt czasowy w związku z tymi okolicznościami; trudności </w:t>
      </w:r>
      <w:r w:rsidR="00494CB1">
        <w:t xml:space="preserve">                                       </w:t>
      </w:r>
      <w:r w:rsidRPr="00670D50">
        <w:t>w przystosowaniu do życia po zwolnieniu z zakładu karnego; alkoholizm lub narkomania; zdarzenie losowe i sytuacja kryzysowa oraz klęska żywiołowa lub ekologiczna.</w:t>
      </w:r>
    </w:p>
    <w:p w:rsidR="00AD3BBD" w:rsidRPr="00D821BE" w:rsidRDefault="00AD3BBD" w:rsidP="00AD3BBD">
      <w:r w:rsidRPr="00D821BE">
        <w:t xml:space="preserve">Wśród głównych powodów korzystania z pomocy społecznej przez mieszkańców powiatu lidzbarskiego </w:t>
      </w:r>
      <w:r w:rsidR="003F49CF">
        <w:t xml:space="preserve">w 2020 roku </w:t>
      </w:r>
      <w:r w:rsidRPr="00D821BE">
        <w:t>należy wskazać:</w:t>
      </w:r>
    </w:p>
    <w:p w:rsidR="00AD3BBD" w:rsidRPr="00D821BE" w:rsidRDefault="00AD3BBD" w:rsidP="00AD3BBD">
      <w:pPr>
        <w:pStyle w:val="Akapitzlist"/>
        <w:numPr>
          <w:ilvl w:val="0"/>
          <w:numId w:val="31"/>
        </w:numPr>
        <w:spacing w:after="60"/>
        <w:ind w:left="714" w:hanging="357"/>
        <w:contextualSpacing w:val="0"/>
      </w:pPr>
      <w:r w:rsidRPr="00D821BE">
        <w:t>ubóstwo – 1 100 rodzin, 1 931 osób w rodzinach;</w:t>
      </w:r>
    </w:p>
    <w:p w:rsidR="00AD3BBD" w:rsidRPr="00D821BE" w:rsidRDefault="00AD3BBD" w:rsidP="00AD3BBD">
      <w:pPr>
        <w:pStyle w:val="Akapitzlist"/>
        <w:numPr>
          <w:ilvl w:val="0"/>
          <w:numId w:val="31"/>
        </w:numPr>
        <w:spacing w:after="60"/>
        <w:ind w:left="714" w:hanging="357"/>
        <w:contextualSpacing w:val="0"/>
      </w:pPr>
      <w:r w:rsidRPr="00D821BE">
        <w:t>bezrobocie – 915 rodzin, 2 294 osoby;</w:t>
      </w:r>
    </w:p>
    <w:p w:rsidR="00AD3BBD" w:rsidRPr="00D821BE" w:rsidRDefault="00AD3BBD" w:rsidP="00AD3BBD">
      <w:pPr>
        <w:pStyle w:val="Akapitzlist"/>
        <w:numPr>
          <w:ilvl w:val="0"/>
          <w:numId w:val="31"/>
        </w:numPr>
        <w:spacing w:after="60"/>
        <w:ind w:left="714" w:hanging="357"/>
        <w:contextualSpacing w:val="0"/>
      </w:pPr>
      <w:r w:rsidRPr="00D821BE">
        <w:t>długotrwała lub ciężka choroba – 718, 1 112 osób;</w:t>
      </w:r>
    </w:p>
    <w:p w:rsidR="0033280C" w:rsidRDefault="00AD3BBD" w:rsidP="0033280C">
      <w:pPr>
        <w:pStyle w:val="Akapitzlist"/>
        <w:numPr>
          <w:ilvl w:val="0"/>
          <w:numId w:val="31"/>
        </w:numPr>
        <w:spacing w:after="60"/>
        <w:ind w:left="714" w:hanging="357"/>
        <w:contextualSpacing w:val="0"/>
      </w:pPr>
      <w:r w:rsidRPr="00D821BE">
        <w:t>niepełnosprawność – 582 rodziny, 953 osoby</w:t>
      </w:r>
      <w:r w:rsidR="0033280C">
        <w:t>;</w:t>
      </w:r>
    </w:p>
    <w:p w:rsidR="0033280C" w:rsidRDefault="0033280C" w:rsidP="0033280C">
      <w:pPr>
        <w:pStyle w:val="Akapitzlist"/>
        <w:numPr>
          <w:ilvl w:val="0"/>
          <w:numId w:val="31"/>
        </w:numPr>
        <w:spacing w:after="60"/>
        <w:ind w:left="714" w:hanging="357"/>
        <w:contextualSpacing w:val="0"/>
      </w:pPr>
      <w:r>
        <w:t>bezradność w sprawach opiekuńczo-wychowawczych i prowadzenia gospodarstwa domowego – 276 rodzin, 991 osób;</w:t>
      </w:r>
    </w:p>
    <w:p w:rsidR="0033280C" w:rsidRDefault="0033280C" w:rsidP="0033280C">
      <w:pPr>
        <w:pStyle w:val="Akapitzlist"/>
        <w:numPr>
          <w:ilvl w:val="0"/>
          <w:numId w:val="31"/>
        </w:numPr>
        <w:spacing w:after="60"/>
        <w:ind w:left="714" w:hanging="357"/>
        <w:contextualSpacing w:val="0"/>
      </w:pPr>
      <w:r>
        <w:t>potrzeba ochrony macierzyństwa, w tym wielodzietności – 173 rodziny, 852 osoby.</w:t>
      </w:r>
    </w:p>
    <w:p w:rsidR="00AD3BBD" w:rsidRPr="00670D50" w:rsidRDefault="00AD3BBD" w:rsidP="00AD3BBD">
      <w:pPr>
        <w:pStyle w:val="Akapitzlist"/>
        <w:ind w:left="0"/>
        <w:contextualSpacing w:val="0"/>
      </w:pPr>
    </w:p>
    <w:p w:rsidR="00AD3BBD" w:rsidRPr="00AD3BBD" w:rsidRDefault="00AD3BBD" w:rsidP="00AD3BBD">
      <w:pPr>
        <w:spacing w:before="120"/>
        <w:jc w:val="center"/>
        <w:rPr>
          <w:rFonts w:cs="Calibri"/>
          <w:b/>
          <w:bCs/>
          <w:sz w:val="20"/>
          <w:szCs w:val="18"/>
        </w:rPr>
      </w:pPr>
      <w:r w:rsidRPr="0019189D">
        <w:rPr>
          <w:b/>
          <w:bCs/>
          <w:sz w:val="20"/>
          <w:szCs w:val="18"/>
        </w:rPr>
        <w:lastRenderedPageBreak/>
        <w:t xml:space="preserve">Tabela </w:t>
      </w:r>
      <w:r w:rsidR="00FA2F7E" w:rsidRPr="0019189D">
        <w:rPr>
          <w:b/>
          <w:bCs/>
          <w:noProof/>
          <w:sz w:val="20"/>
          <w:szCs w:val="18"/>
        </w:rPr>
        <w:fldChar w:fldCharType="begin"/>
      </w:r>
      <w:r w:rsidRPr="0019189D">
        <w:rPr>
          <w:b/>
          <w:bCs/>
          <w:noProof/>
          <w:sz w:val="20"/>
          <w:szCs w:val="18"/>
        </w:rPr>
        <w:instrText xml:space="preserve"> SEQ Tabela \* ARABIC </w:instrText>
      </w:r>
      <w:r w:rsidR="00FA2F7E" w:rsidRPr="0019189D">
        <w:rPr>
          <w:b/>
          <w:bCs/>
          <w:noProof/>
          <w:sz w:val="20"/>
          <w:szCs w:val="18"/>
        </w:rPr>
        <w:fldChar w:fldCharType="separate"/>
      </w:r>
      <w:r w:rsidR="003A0BF1">
        <w:rPr>
          <w:b/>
          <w:bCs/>
          <w:noProof/>
          <w:sz w:val="20"/>
          <w:szCs w:val="18"/>
        </w:rPr>
        <w:t>1</w:t>
      </w:r>
      <w:r w:rsidR="00FA2F7E" w:rsidRPr="0019189D">
        <w:rPr>
          <w:b/>
          <w:bCs/>
          <w:noProof/>
          <w:sz w:val="20"/>
          <w:szCs w:val="18"/>
        </w:rPr>
        <w:fldChar w:fldCharType="end"/>
      </w:r>
      <w:r w:rsidRPr="0019189D">
        <w:rPr>
          <w:b/>
          <w:bCs/>
          <w:sz w:val="20"/>
          <w:szCs w:val="18"/>
        </w:rPr>
        <w:t xml:space="preserve">. Główne powody korzystania z pomocy społecznej przez mieszkańców powiatu lidzbarskiego </w:t>
      </w:r>
      <w:r w:rsidRPr="0019189D">
        <w:rPr>
          <w:b/>
          <w:bCs/>
          <w:sz w:val="20"/>
          <w:szCs w:val="18"/>
        </w:rPr>
        <w:br/>
        <w:t>w 2020 roku</w:t>
      </w:r>
    </w:p>
    <w:tbl>
      <w:tblPr>
        <w:tblStyle w:val="Siatkatabelijasna1"/>
        <w:tblW w:w="9045" w:type="dxa"/>
        <w:jc w:val="center"/>
        <w:tblLook w:val="04A0"/>
      </w:tblPr>
      <w:tblGrid>
        <w:gridCol w:w="3380"/>
        <w:gridCol w:w="876"/>
        <w:gridCol w:w="1045"/>
        <w:gridCol w:w="876"/>
        <w:gridCol w:w="1045"/>
        <w:gridCol w:w="777"/>
        <w:gridCol w:w="1046"/>
      </w:tblGrid>
      <w:tr w:rsidR="00460D7C" w:rsidRPr="0019189D" w:rsidTr="00460D7C">
        <w:trPr>
          <w:trHeight w:val="294"/>
          <w:jc w:val="center"/>
        </w:trPr>
        <w:tc>
          <w:tcPr>
            <w:tcW w:w="3380" w:type="dxa"/>
            <w:vMerge w:val="restart"/>
            <w:shd w:val="clear" w:color="auto" w:fill="D9E2F3"/>
            <w:noWrap/>
            <w:vAlign w:val="center"/>
            <w:hideMark/>
          </w:tcPr>
          <w:p w:rsidR="00AD3BBD" w:rsidRPr="00AD3BBD" w:rsidRDefault="00AD3BBD" w:rsidP="00D740E7">
            <w:pPr>
              <w:spacing w:after="0"/>
              <w:jc w:val="center"/>
              <w:rPr>
                <w:rFonts w:eastAsia="Times New Roman" w:cs="Calibri"/>
                <w:b/>
                <w:bCs/>
                <w:color w:val="000000"/>
                <w:sz w:val="20"/>
                <w:szCs w:val="20"/>
                <w:lang w:eastAsia="pl-PL"/>
              </w:rPr>
            </w:pPr>
            <w:r w:rsidRPr="00AD3BBD">
              <w:rPr>
                <w:rFonts w:eastAsia="Times New Roman" w:cs="Calibri"/>
                <w:b/>
                <w:bCs/>
                <w:color w:val="000000"/>
                <w:sz w:val="20"/>
                <w:szCs w:val="20"/>
                <w:lang w:eastAsia="pl-PL"/>
              </w:rPr>
              <w:t>Wyszczególnienie</w:t>
            </w:r>
          </w:p>
        </w:tc>
        <w:tc>
          <w:tcPr>
            <w:tcW w:w="1921" w:type="dxa"/>
            <w:gridSpan w:val="2"/>
            <w:shd w:val="clear" w:color="auto" w:fill="D9E2F3"/>
            <w:noWrap/>
            <w:vAlign w:val="center"/>
            <w:hideMark/>
          </w:tcPr>
          <w:p w:rsidR="00AD3BBD" w:rsidRPr="00AD3BBD" w:rsidRDefault="00AD3BBD" w:rsidP="00D740E7">
            <w:pPr>
              <w:spacing w:after="0"/>
              <w:jc w:val="center"/>
              <w:rPr>
                <w:rFonts w:eastAsia="Times New Roman" w:cs="Calibri"/>
                <w:b/>
                <w:bCs/>
                <w:color w:val="000000"/>
                <w:sz w:val="20"/>
                <w:szCs w:val="20"/>
                <w:lang w:eastAsia="pl-PL"/>
              </w:rPr>
            </w:pPr>
            <w:r w:rsidRPr="00AD3BBD">
              <w:rPr>
                <w:rFonts w:eastAsia="Times New Roman" w:cs="Calibri"/>
                <w:b/>
                <w:bCs/>
                <w:color w:val="000000"/>
                <w:sz w:val="20"/>
                <w:szCs w:val="20"/>
                <w:lang w:eastAsia="pl-PL"/>
              </w:rPr>
              <w:t>2018</w:t>
            </w:r>
          </w:p>
        </w:tc>
        <w:tc>
          <w:tcPr>
            <w:tcW w:w="1921" w:type="dxa"/>
            <w:gridSpan w:val="2"/>
            <w:shd w:val="clear" w:color="auto" w:fill="D9E2F3"/>
            <w:noWrap/>
            <w:vAlign w:val="center"/>
            <w:hideMark/>
          </w:tcPr>
          <w:p w:rsidR="00AD3BBD" w:rsidRPr="00AD3BBD" w:rsidRDefault="00AD3BBD" w:rsidP="00D740E7">
            <w:pPr>
              <w:spacing w:after="0"/>
              <w:jc w:val="center"/>
              <w:rPr>
                <w:rFonts w:eastAsia="Times New Roman" w:cs="Calibri"/>
                <w:b/>
                <w:bCs/>
                <w:color w:val="000000"/>
                <w:sz w:val="20"/>
                <w:szCs w:val="20"/>
                <w:lang w:eastAsia="pl-PL"/>
              </w:rPr>
            </w:pPr>
            <w:r w:rsidRPr="00AD3BBD">
              <w:rPr>
                <w:rFonts w:eastAsia="Times New Roman" w:cs="Calibri"/>
                <w:b/>
                <w:bCs/>
                <w:color w:val="000000"/>
                <w:sz w:val="20"/>
                <w:szCs w:val="20"/>
                <w:lang w:eastAsia="pl-PL"/>
              </w:rPr>
              <w:t>2019</w:t>
            </w:r>
          </w:p>
        </w:tc>
        <w:tc>
          <w:tcPr>
            <w:tcW w:w="1823" w:type="dxa"/>
            <w:gridSpan w:val="2"/>
            <w:shd w:val="clear" w:color="auto" w:fill="D9E2F3"/>
            <w:noWrap/>
            <w:vAlign w:val="center"/>
            <w:hideMark/>
          </w:tcPr>
          <w:p w:rsidR="00AD3BBD" w:rsidRPr="00AD3BBD" w:rsidRDefault="00AD3BBD" w:rsidP="00D740E7">
            <w:pPr>
              <w:spacing w:after="0"/>
              <w:jc w:val="center"/>
              <w:rPr>
                <w:rFonts w:eastAsia="Times New Roman" w:cs="Calibri"/>
                <w:b/>
                <w:bCs/>
                <w:color w:val="000000"/>
                <w:sz w:val="20"/>
                <w:szCs w:val="20"/>
                <w:lang w:eastAsia="pl-PL"/>
              </w:rPr>
            </w:pPr>
            <w:r w:rsidRPr="00AD3BBD">
              <w:rPr>
                <w:rFonts w:eastAsia="Times New Roman" w:cs="Calibri"/>
                <w:b/>
                <w:bCs/>
                <w:color w:val="000000"/>
                <w:sz w:val="20"/>
                <w:szCs w:val="20"/>
                <w:lang w:eastAsia="pl-PL"/>
              </w:rPr>
              <w:t>2020</w:t>
            </w:r>
          </w:p>
        </w:tc>
      </w:tr>
      <w:tr w:rsidR="00AD3BBD" w:rsidRPr="0019189D" w:rsidTr="00DE13D0">
        <w:trPr>
          <w:trHeight w:val="827"/>
          <w:jc w:val="center"/>
        </w:trPr>
        <w:tc>
          <w:tcPr>
            <w:tcW w:w="3380" w:type="dxa"/>
            <w:vMerge/>
            <w:shd w:val="clear" w:color="auto" w:fill="D9E2F3"/>
            <w:vAlign w:val="center"/>
            <w:hideMark/>
          </w:tcPr>
          <w:p w:rsidR="00AD3BBD" w:rsidRPr="00AD3BBD" w:rsidRDefault="00AD3BBD" w:rsidP="00D740E7">
            <w:pPr>
              <w:spacing w:after="0"/>
              <w:jc w:val="left"/>
              <w:rPr>
                <w:rFonts w:eastAsia="Times New Roman" w:cs="Calibri"/>
                <w:b/>
                <w:bCs/>
                <w:color w:val="000000"/>
                <w:sz w:val="20"/>
                <w:szCs w:val="20"/>
                <w:lang w:eastAsia="pl-PL"/>
              </w:rPr>
            </w:pPr>
          </w:p>
        </w:tc>
        <w:tc>
          <w:tcPr>
            <w:tcW w:w="876" w:type="dxa"/>
            <w:shd w:val="clear" w:color="auto" w:fill="D9E2F3"/>
            <w:vAlign w:val="center"/>
            <w:hideMark/>
          </w:tcPr>
          <w:p w:rsidR="00AD3BBD" w:rsidRPr="00AD3BBD" w:rsidRDefault="00AD3BBD" w:rsidP="00D740E7">
            <w:pPr>
              <w:spacing w:after="0"/>
              <w:jc w:val="center"/>
              <w:rPr>
                <w:rFonts w:eastAsia="Times New Roman" w:cs="Calibri"/>
                <w:b/>
                <w:bCs/>
                <w:color w:val="000000"/>
                <w:sz w:val="20"/>
                <w:szCs w:val="20"/>
                <w:lang w:eastAsia="pl-PL"/>
              </w:rPr>
            </w:pPr>
            <w:r w:rsidRPr="00AD3BBD">
              <w:rPr>
                <w:rFonts w:eastAsia="Times New Roman" w:cs="Calibri"/>
                <w:b/>
                <w:bCs/>
                <w:color w:val="000000"/>
                <w:sz w:val="20"/>
                <w:szCs w:val="20"/>
                <w:lang w:eastAsia="pl-PL"/>
              </w:rPr>
              <w:t>Liczba rodzin</w:t>
            </w:r>
          </w:p>
        </w:tc>
        <w:tc>
          <w:tcPr>
            <w:tcW w:w="1045" w:type="dxa"/>
            <w:shd w:val="clear" w:color="auto" w:fill="D9E2F3"/>
            <w:vAlign w:val="center"/>
            <w:hideMark/>
          </w:tcPr>
          <w:p w:rsidR="00AD3BBD" w:rsidRPr="00AD3BBD" w:rsidRDefault="00AD3BBD" w:rsidP="00D740E7">
            <w:pPr>
              <w:spacing w:after="0"/>
              <w:jc w:val="center"/>
              <w:rPr>
                <w:rFonts w:eastAsia="Times New Roman" w:cs="Calibri"/>
                <w:b/>
                <w:bCs/>
                <w:color w:val="000000"/>
                <w:sz w:val="20"/>
                <w:szCs w:val="20"/>
                <w:lang w:eastAsia="pl-PL"/>
              </w:rPr>
            </w:pPr>
            <w:r w:rsidRPr="00AD3BBD">
              <w:rPr>
                <w:rFonts w:eastAsia="Times New Roman" w:cs="Calibri"/>
                <w:b/>
                <w:bCs/>
                <w:color w:val="000000"/>
                <w:sz w:val="20"/>
                <w:szCs w:val="20"/>
                <w:lang w:eastAsia="pl-PL"/>
              </w:rPr>
              <w:t>Liczba osób w rodzinach</w:t>
            </w:r>
          </w:p>
        </w:tc>
        <w:tc>
          <w:tcPr>
            <w:tcW w:w="876" w:type="dxa"/>
            <w:shd w:val="clear" w:color="auto" w:fill="D9E2F3"/>
            <w:vAlign w:val="center"/>
            <w:hideMark/>
          </w:tcPr>
          <w:p w:rsidR="00AD3BBD" w:rsidRPr="00AD3BBD" w:rsidRDefault="00AD3BBD" w:rsidP="00D740E7">
            <w:pPr>
              <w:spacing w:after="0"/>
              <w:jc w:val="center"/>
              <w:rPr>
                <w:rFonts w:eastAsia="Times New Roman" w:cs="Calibri"/>
                <w:b/>
                <w:bCs/>
                <w:color w:val="000000"/>
                <w:sz w:val="20"/>
                <w:szCs w:val="20"/>
                <w:lang w:eastAsia="pl-PL"/>
              </w:rPr>
            </w:pPr>
            <w:r w:rsidRPr="00AD3BBD">
              <w:rPr>
                <w:rFonts w:eastAsia="Times New Roman" w:cs="Calibri"/>
                <w:b/>
                <w:bCs/>
                <w:color w:val="000000"/>
                <w:sz w:val="20"/>
                <w:szCs w:val="20"/>
                <w:lang w:eastAsia="pl-PL"/>
              </w:rPr>
              <w:t>Liczba rodzin</w:t>
            </w:r>
          </w:p>
        </w:tc>
        <w:tc>
          <w:tcPr>
            <w:tcW w:w="1045" w:type="dxa"/>
            <w:shd w:val="clear" w:color="auto" w:fill="D9E2F3"/>
            <w:vAlign w:val="center"/>
            <w:hideMark/>
          </w:tcPr>
          <w:p w:rsidR="00AD3BBD" w:rsidRPr="00AD3BBD" w:rsidRDefault="00AD3BBD" w:rsidP="00D740E7">
            <w:pPr>
              <w:spacing w:after="0"/>
              <w:jc w:val="center"/>
              <w:rPr>
                <w:rFonts w:eastAsia="Times New Roman" w:cs="Calibri"/>
                <w:b/>
                <w:bCs/>
                <w:color w:val="000000"/>
                <w:sz w:val="20"/>
                <w:szCs w:val="20"/>
                <w:lang w:eastAsia="pl-PL"/>
              </w:rPr>
            </w:pPr>
            <w:r w:rsidRPr="00AD3BBD">
              <w:rPr>
                <w:rFonts w:eastAsia="Times New Roman" w:cs="Calibri"/>
                <w:b/>
                <w:bCs/>
                <w:color w:val="000000"/>
                <w:sz w:val="20"/>
                <w:szCs w:val="20"/>
                <w:lang w:eastAsia="pl-PL"/>
              </w:rPr>
              <w:t>Liczba osób w rodzinach</w:t>
            </w:r>
          </w:p>
        </w:tc>
        <w:tc>
          <w:tcPr>
            <w:tcW w:w="777" w:type="dxa"/>
            <w:shd w:val="clear" w:color="auto" w:fill="D9E2F3"/>
            <w:vAlign w:val="center"/>
            <w:hideMark/>
          </w:tcPr>
          <w:p w:rsidR="00AD3BBD" w:rsidRPr="00AD3BBD" w:rsidRDefault="00AD3BBD" w:rsidP="00D740E7">
            <w:pPr>
              <w:spacing w:after="0"/>
              <w:jc w:val="center"/>
              <w:rPr>
                <w:rFonts w:eastAsia="Times New Roman" w:cs="Calibri"/>
                <w:b/>
                <w:bCs/>
                <w:color w:val="000000"/>
                <w:sz w:val="20"/>
                <w:szCs w:val="20"/>
                <w:lang w:eastAsia="pl-PL"/>
              </w:rPr>
            </w:pPr>
            <w:r w:rsidRPr="00AD3BBD">
              <w:rPr>
                <w:rFonts w:eastAsia="Times New Roman" w:cs="Calibri"/>
                <w:b/>
                <w:bCs/>
                <w:color w:val="000000"/>
                <w:sz w:val="20"/>
                <w:szCs w:val="20"/>
                <w:lang w:eastAsia="pl-PL"/>
              </w:rPr>
              <w:t> Liczba rodzin</w:t>
            </w:r>
          </w:p>
        </w:tc>
        <w:tc>
          <w:tcPr>
            <w:tcW w:w="1046" w:type="dxa"/>
            <w:shd w:val="clear" w:color="auto" w:fill="D9E2F3"/>
            <w:vAlign w:val="center"/>
            <w:hideMark/>
          </w:tcPr>
          <w:p w:rsidR="00AD3BBD" w:rsidRPr="00AD3BBD" w:rsidRDefault="00AD3BBD" w:rsidP="00D740E7">
            <w:pPr>
              <w:spacing w:after="0"/>
              <w:jc w:val="center"/>
              <w:rPr>
                <w:rFonts w:eastAsia="Times New Roman" w:cs="Calibri"/>
                <w:b/>
                <w:bCs/>
                <w:color w:val="000000"/>
                <w:sz w:val="20"/>
                <w:szCs w:val="20"/>
                <w:lang w:eastAsia="pl-PL"/>
              </w:rPr>
            </w:pPr>
            <w:r w:rsidRPr="00AD3BBD">
              <w:rPr>
                <w:rFonts w:eastAsia="Times New Roman" w:cs="Calibri"/>
                <w:b/>
                <w:bCs/>
                <w:color w:val="000000"/>
                <w:sz w:val="20"/>
                <w:szCs w:val="20"/>
                <w:lang w:eastAsia="pl-PL"/>
              </w:rPr>
              <w:t>Liczba osób w rodzinach</w:t>
            </w:r>
          </w:p>
        </w:tc>
      </w:tr>
      <w:tr w:rsidR="00AD3BBD" w:rsidRPr="0019189D" w:rsidTr="00DE13D0">
        <w:trPr>
          <w:trHeight w:val="307"/>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Ubóstwo</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1282</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2502</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909</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1819</w:t>
            </w:r>
          </w:p>
        </w:tc>
        <w:tc>
          <w:tcPr>
            <w:tcW w:w="777" w:type="dxa"/>
            <w:shd w:val="clear" w:color="auto" w:fill="FFFFFF"/>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1100</w:t>
            </w:r>
          </w:p>
        </w:tc>
        <w:tc>
          <w:tcPr>
            <w:tcW w:w="1046" w:type="dxa"/>
            <w:shd w:val="clear" w:color="auto" w:fill="FFFFFF"/>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1931</w:t>
            </w:r>
          </w:p>
        </w:tc>
      </w:tr>
      <w:tr w:rsidR="00AD3BBD" w:rsidRPr="0019189D" w:rsidTr="00DE13D0">
        <w:trPr>
          <w:trHeight w:val="307"/>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Sieroctwo</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3</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5</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3</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5</w:t>
            </w:r>
          </w:p>
        </w:tc>
        <w:tc>
          <w:tcPr>
            <w:tcW w:w="777" w:type="dxa"/>
            <w:shd w:val="clear" w:color="auto" w:fill="FFFFFF"/>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c>
          <w:tcPr>
            <w:tcW w:w="1046" w:type="dxa"/>
            <w:shd w:val="clear" w:color="auto" w:fill="FFFFFF"/>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r>
      <w:tr w:rsidR="00AD3BBD" w:rsidRPr="0019189D" w:rsidTr="00DE13D0">
        <w:trPr>
          <w:trHeight w:val="307"/>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Bezdomność</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75</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78</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72</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74</w:t>
            </w:r>
          </w:p>
        </w:tc>
        <w:tc>
          <w:tcPr>
            <w:tcW w:w="777" w:type="dxa"/>
            <w:shd w:val="clear" w:color="auto" w:fill="FFFFFF"/>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69</w:t>
            </w:r>
          </w:p>
        </w:tc>
        <w:tc>
          <w:tcPr>
            <w:tcW w:w="1046" w:type="dxa"/>
            <w:shd w:val="clear" w:color="auto" w:fill="FFFFFF"/>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69</w:t>
            </w:r>
          </w:p>
        </w:tc>
      </w:tr>
      <w:tr w:rsidR="00AD3BBD" w:rsidRPr="0019189D" w:rsidTr="00DE13D0">
        <w:trPr>
          <w:trHeight w:val="307"/>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Potrzeba ochrony macierzyństwa</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199</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946</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191</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936</w:t>
            </w:r>
          </w:p>
        </w:tc>
        <w:tc>
          <w:tcPr>
            <w:tcW w:w="777" w:type="dxa"/>
            <w:shd w:val="clear" w:color="auto" w:fill="FFFFFF"/>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173</w:t>
            </w:r>
          </w:p>
        </w:tc>
        <w:tc>
          <w:tcPr>
            <w:tcW w:w="1046" w:type="dxa"/>
            <w:shd w:val="clear" w:color="auto" w:fill="FFFFFF"/>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852</w:t>
            </w:r>
          </w:p>
        </w:tc>
      </w:tr>
      <w:tr w:rsidR="00AD3BBD" w:rsidRPr="0019189D" w:rsidTr="00DE13D0">
        <w:trPr>
          <w:trHeight w:val="307"/>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 xml:space="preserve"> - w tym wielodzietność</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126</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694</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122</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674</w:t>
            </w:r>
          </w:p>
        </w:tc>
        <w:tc>
          <w:tcPr>
            <w:tcW w:w="777" w:type="dxa"/>
            <w:shd w:val="clear" w:color="auto" w:fill="FFFFFF"/>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124</w:t>
            </w:r>
          </w:p>
        </w:tc>
        <w:tc>
          <w:tcPr>
            <w:tcW w:w="1046" w:type="dxa"/>
            <w:shd w:val="clear" w:color="auto" w:fill="FFFFFF"/>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690</w:t>
            </w:r>
          </w:p>
        </w:tc>
      </w:tr>
      <w:tr w:rsidR="00AD3BBD" w:rsidRPr="0019189D" w:rsidTr="00DE13D0">
        <w:trPr>
          <w:trHeight w:val="307"/>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Bezrobocie</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1046</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2717</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943</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2384</w:t>
            </w:r>
          </w:p>
        </w:tc>
        <w:tc>
          <w:tcPr>
            <w:tcW w:w="777" w:type="dxa"/>
            <w:shd w:val="clear" w:color="auto" w:fill="FFFFFF"/>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915</w:t>
            </w:r>
          </w:p>
        </w:tc>
        <w:tc>
          <w:tcPr>
            <w:tcW w:w="1046" w:type="dxa"/>
            <w:shd w:val="clear" w:color="auto" w:fill="FFFFFF"/>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2294</w:t>
            </w:r>
          </w:p>
        </w:tc>
      </w:tr>
      <w:tr w:rsidR="00AD3BBD" w:rsidRPr="0019189D" w:rsidTr="00DE13D0">
        <w:trPr>
          <w:trHeight w:val="307"/>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Niepełnosprawność</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693</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1244</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631</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1060</w:t>
            </w:r>
          </w:p>
        </w:tc>
        <w:tc>
          <w:tcPr>
            <w:tcW w:w="777" w:type="dxa"/>
            <w:shd w:val="clear" w:color="auto" w:fill="FFFFFF"/>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582</w:t>
            </w:r>
          </w:p>
        </w:tc>
        <w:tc>
          <w:tcPr>
            <w:tcW w:w="1046" w:type="dxa"/>
            <w:shd w:val="clear" w:color="auto" w:fill="FFFFFF"/>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953</w:t>
            </w:r>
          </w:p>
        </w:tc>
      </w:tr>
      <w:tr w:rsidR="00AD3BBD" w:rsidRPr="0019189D" w:rsidTr="00DE13D0">
        <w:trPr>
          <w:trHeight w:val="307"/>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Długotrwała lub ciężka choroba</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822</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1358</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774</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1252</w:t>
            </w:r>
          </w:p>
        </w:tc>
        <w:tc>
          <w:tcPr>
            <w:tcW w:w="777" w:type="dxa"/>
            <w:shd w:val="clear" w:color="auto" w:fill="FFFFFF"/>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718</w:t>
            </w:r>
          </w:p>
        </w:tc>
        <w:tc>
          <w:tcPr>
            <w:tcW w:w="1046" w:type="dxa"/>
            <w:shd w:val="clear" w:color="auto" w:fill="FFFFFF"/>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1112</w:t>
            </w:r>
          </w:p>
        </w:tc>
      </w:tr>
      <w:tr w:rsidR="00AD3BBD" w:rsidRPr="0019189D" w:rsidTr="00DE13D0">
        <w:trPr>
          <w:trHeight w:val="928"/>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Bezradność w sprawach opiekuńczo-wychowawczych i prowadzenia gospodarstwa domowego</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264</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928</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275</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1000</w:t>
            </w:r>
          </w:p>
        </w:tc>
        <w:tc>
          <w:tcPr>
            <w:tcW w:w="777" w:type="dxa"/>
            <w:shd w:val="clear" w:color="auto" w:fill="FFFFFF"/>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276</w:t>
            </w:r>
          </w:p>
        </w:tc>
        <w:tc>
          <w:tcPr>
            <w:tcW w:w="1046" w:type="dxa"/>
            <w:shd w:val="clear" w:color="auto" w:fill="FFFFFF"/>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991</w:t>
            </w:r>
          </w:p>
        </w:tc>
      </w:tr>
      <w:tr w:rsidR="00AD3BBD" w:rsidRPr="0019189D" w:rsidTr="00DE13D0">
        <w:trPr>
          <w:trHeight w:val="307"/>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 xml:space="preserve"> - w tym rodziny niepełne</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192</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583</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193</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597</w:t>
            </w:r>
          </w:p>
        </w:tc>
        <w:tc>
          <w:tcPr>
            <w:tcW w:w="777"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201</w:t>
            </w:r>
          </w:p>
        </w:tc>
        <w:tc>
          <w:tcPr>
            <w:tcW w:w="104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610</w:t>
            </w:r>
          </w:p>
        </w:tc>
      </w:tr>
      <w:tr w:rsidR="00AD3BBD" w:rsidRPr="0019189D" w:rsidTr="00DE13D0">
        <w:trPr>
          <w:trHeight w:val="307"/>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 xml:space="preserve"> - w tym rodziny wielodzietne</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69</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354</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69</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371</w:t>
            </w:r>
          </w:p>
        </w:tc>
        <w:tc>
          <w:tcPr>
            <w:tcW w:w="777"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67</w:t>
            </w:r>
          </w:p>
        </w:tc>
        <w:tc>
          <w:tcPr>
            <w:tcW w:w="104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364</w:t>
            </w:r>
          </w:p>
        </w:tc>
      </w:tr>
      <w:tr w:rsidR="00AD3BBD" w:rsidRPr="0019189D" w:rsidTr="00DE13D0">
        <w:trPr>
          <w:trHeight w:val="307"/>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Przemoc w rodzinie</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127</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398</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107</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380</w:t>
            </w:r>
          </w:p>
        </w:tc>
        <w:tc>
          <w:tcPr>
            <w:tcW w:w="777"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86</w:t>
            </w:r>
          </w:p>
        </w:tc>
        <w:tc>
          <w:tcPr>
            <w:tcW w:w="104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265</w:t>
            </w:r>
          </w:p>
        </w:tc>
      </w:tr>
      <w:tr w:rsidR="00AD3BBD" w:rsidRPr="0019189D" w:rsidTr="00DE13D0">
        <w:trPr>
          <w:trHeight w:val="390"/>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Potrzeba ochrony ofiar handlu ludźmi</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c>
          <w:tcPr>
            <w:tcW w:w="777"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c>
          <w:tcPr>
            <w:tcW w:w="104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r>
      <w:tr w:rsidR="00AD3BBD" w:rsidRPr="0019189D" w:rsidTr="00DE13D0">
        <w:trPr>
          <w:trHeight w:val="307"/>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Alkoholizm</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170</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240</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173</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274</w:t>
            </w:r>
          </w:p>
        </w:tc>
        <w:tc>
          <w:tcPr>
            <w:tcW w:w="777"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144</w:t>
            </w:r>
          </w:p>
        </w:tc>
        <w:tc>
          <w:tcPr>
            <w:tcW w:w="104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218</w:t>
            </w:r>
          </w:p>
        </w:tc>
      </w:tr>
      <w:tr w:rsidR="00AD3BBD" w:rsidRPr="0019189D" w:rsidTr="00DE13D0">
        <w:trPr>
          <w:trHeight w:val="307"/>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Narkomania</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13</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16</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11</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11</w:t>
            </w:r>
          </w:p>
        </w:tc>
        <w:tc>
          <w:tcPr>
            <w:tcW w:w="777"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11</w:t>
            </w:r>
          </w:p>
        </w:tc>
        <w:tc>
          <w:tcPr>
            <w:tcW w:w="104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12</w:t>
            </w:r>
          </w:p>
        </w:tc>
      </w:tr>
      <w:tr w:rsidR="00AD3BBD" w:rsidRPr="0019189D" w:rsidTr="00DE13D0">
        <w:trPr>
          <w:trHeight w:val="599"/>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Trudności w przystosowaniu do życia po zwolnieniu z zakładu karnego</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21</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29</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22</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39</w:t>
            </w:r>
          </w:p>
        </w:tc>
        <w:tc>
          <w:tcPr>
            <w:tcW w:w="777"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33</w:t>
            </w:r>
          </w:p>
        </w:tc>
        <w:tc>
          <w:tcPr>
            <w:tcW w:w="104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46</w:t>
            </w:r>
          </w:p>
        </w:tc>
      </w:tr>
      <w:tr w:rsidR="00AD3BBD" w:rsidRPr="0019189D" w:rsidTr="00DE13D0">
        <w:trPr>
          <w:trHeight w:val="1111"/>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Trudności w integracji osób, które otrzymały status uchodźcy, ochronę uzupełniającą lub pozwolenie na pobyt czasowy</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c>
          <w:tcPr>
            <w:tcW w:w="777"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c>
          <w:tcPr>
            <w:tcW w:w="104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r>
      <w:tr w:rsidR="00AD3BBD" w:rsidRPr="0019189D" w:rsidTr="00DE13D0">
        <w:trPr>
          <w:trHeight w:val="307"/>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Zdarzenie losowe</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18</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40</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6</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16</w:t>
            </w:r>
          </w:p>
        </w:tc>
        <w:tc>
          <w:tcPr>
            <w:tcW w:w="777"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10</w:t>
            </w:r>
          </w:p>
        </w:tc>
        <w:tc>
          <w:tcPr>
            <w:tcW w:w="104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23</w:t>
            </w:r>
          </w:p>
        </w:tc>
      </w:tr>
      <w:tr w:rsidR="00AD3BBD" w:rsidRPr="0019189D" w:rsidTr="00DE13D0">
        <w:trPr>
          <w:trHeight w:val="307"/>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Sytuacja kryzysowa</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47</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134</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53</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156</w:t>
            </w:r>
          </w:p>
        </w:tc>
        <w:tc>
          <w:tcPr>
            <w:tcW w:w="777"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48</w:t>
            </w:r>
          </w:p>
        </w:tc>
        <w:tc>
          <w:tcPr>
            <w:tcW w:w="104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150</w:t>
            </w:r>
          </w:p>
        </w:tc>
      </w:tr>
      <w:tr w:rsidR="00AD3BBD" w:rsidRPr="0019189D" w:rsidTr="00DE13D0">
        <w:trPr>
          <w:trHeight w:val="472"/>
          <w:jc w:val="center"/>
        </w:trPr>
        <w:tc>
          <w:tcPr>
            <w:tcW w:w="3380" w:type="dxa"/>
            <w:vAlign w:val="center"/>
            <w:hideMark/>
          </w:tcPr>
          <w:p w:rsidR="00AD3BBD" w:rsidRPr="00AD3BBD" w:rsidRDefault="00AD3BBD" w:rsidP="00D740E7">
            <w:pPr>
              <w:spacing w:after="0"/>
              <w:jc w:val="left"/>
              <w:rPr>
                <w:rFonts w:eastAsia="Times New Roman" w:cs="Calibri"/>
                <w:color w:val="000000"/>
                <w:sz w:val="20"/>
                <w:szCs w:val="20"/>
                <w:lang w:eastAsia="pl-PL"/>
              </w:rPr>
            </w:pPr>
            <w:r w:rsidRPr="00AD3BBD">
              <w:rPr>
                <w:rFonts w:eastAsia="Times New Roman" w:cs="Calibri"/>
                <w:color w:val="000000"/>
                <w:sz w:val="20"/>
                <w:szCs w:val="20"/>
                <w:lang w:eastAsia="pl-PL"/>
              </w:rPr>
              <w:t>Klęska żywiołowa lub ekologiczna</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c>
          <w:tcPr>
            <w:tcW w:w="87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c>
          <w:tcPr>
            <w:tcW w:w="1045"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c>
          <w:tcPr>
            <w:tcW w:w="777"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c>
          <w:tcPr>
            <w:tcW w:w="1046" w:type="dxa"/>
            <w:vAlign w:val="center"/>
            <w:hideMark/>
          </w:tcPr>
          <w:p w:rsidR="00AD3BBD" w:rsidRPr="00AD3BBD" w:rsidRDefault="00AD3BBD" w:rsidP="00D740E7">
            <w:pPr>
              <w:spacing w:after="0"/>
              <w:jc w:val="center"/>
              <w:rPr>
                <w:rFonts w:eastAsia="Times New Roman" w:cs="Calibri"/>
                <w:color w:val="000000"/>
                <w:sz w:val="20"/>
                <w:szCs w:val="20"/>
                <w:lang w:eastAsia="pl-PL"/>
              </w:rPr>
            </w:pPr>
            <w:r w:rsidRPr="00AD3BBD">
              <w:rPr>
                <w:rFonts w:eastAsia="Times New Roman" w:cs="Calibri"/>
                <w:color w:val="000000"/>
                <w:sz w:val="20"/>
                <w:szCs w:val="20"/>
                <w:lang w:eastAsia="pl-PL"/>
              </w:rPr>
              <w:t>0</w:t>
            </w:r>
          </w:p>
        </w:tc>
      </w:tr>
    </w:tbl>
    <w:p w:rsidR="00DE13D0" w:rsidRPr="00DE13D0" w:rsidRDefault="00DE13D0" w:rsidP="00DE13D0">
      <w:pPr>
        <w:pStyle w:val="Tekstprzypisudolnego"/>
        <w:spacing w:after="120"/>
        <w:rPr>
          <w:rStyle w:val="Odwoaniedelikatne"/>
        </w:rPr>
      </w:pPr>
      <w:r w:rsidRPr="00DE13D0">
        <w:rPr>
          <w:rStyle w:val="Odwoaniedelikatne"/>
        </w:rPr>
        <w:t>Źródło: opracowanie własne na podstawie sprawozdań MRiPS-03.</w:t>
      </w:r>
    </w:p>
    <w:p w:rsidR="00AD3BBD" w:rsidRDefault="0033280C" w:rsidP="0033280C">
      <w:r w:rsidRPr="0033280C">
        <w:t xml:space="preserve">W dalszej kolejności należy wskazać alkoholizm (144 rodziny, 218 osób), przemoc w rodzinie (86 rodzin, 265 osób), bezdomność (69 rodzin, 69 osób), sytuację kryzysową (48 rodzin, </w:t>
      </w:r>
      <w:r w:rsidR="00D47590">
        <w:t xml:space="preserve">                    </w:t>
      </w:r>
      <w:r w:rsidRPr="0033280C">
        <w:t>150 osób), trudności w przystosowaniu do życia po zwolnieniu z zakładu karnego (33 rodziny, 46 osób), zdarzenie losowe (10 rodzin, 23 osoby) oraz narkomanię (11 rodzin, 12 osób).</w:t>
      </w:r>
    </w:p>
    <w:p w:rsidR="0033280C" w:rsidRDefault="0033280C" w:rsidP="0033280C">
      <w:pPr>
        <w:pStyle w:val="Nagwek2"/>
        <w:numPr>
          <w:ilvl w:val="1"/>
          <w:numId w:val="24"/>
        </w:numPr>
        <w:ind w:left="284" w:hanging="284"/>
      </w:pPr>
      <w:bookmarkStart w:id="8" w:name="_Toc86158833"/>
      <w:r>
        <w:t>Skala zjawiska przemocy w rodzinie</w:t>
      </w:r>
      <w:bookmarkEnd w:id="8"/>
    </w:p>
    <w:p w:rsidR="0033280C" w:rsidRPr="00460D7C" w:rsidRDefault="009A1A9A" w:rsidP="00460D7C">
      <w:pPr>
        <w:spacing w:after="0"/>
      </w:pPr>
      <w:r w:rsidRPr="00A340E2">
        <w:t>Przedstawione w poprzednim podrozdziale dane i informacje dotyczące sytuacji społecznej</w:t>
      </w:r>
      <w:r>
        <w:t xml:space="preserve"> powiatu wskazują, że </w:t>
      </w:r>
      <w:r w:rsidR="001D0E43">
        <w:t xml:space="preserve">problem przemocy w rodzinie nie należy do dominujących powodów korzystania z pomocy społecznej przez mieszkańców, aczkolwiek jego skala wydaje się dość istotna. W 2020 roku ze względu na przemoc w rodzinie pomocą społeczną objęto 86 rodzin, w których było 265 osób. W porównaniu do 2018 roku liczba rodzin zmniejszyła się </w:t>
      </w:r>
      <w:r w:rsidR="00386FA7">
        <w:t xml:space="preserve">                                         </w:t>
      </w:r>
      <w:r w:rsidR="001D0E43">
        <w:t xml:space="preserve">o </w:t>
      </w:r>
      <w:r w:rsidR="00BD1082">
        <w:t>41, natomiast liczba osób spadła o 133.</w:t>
      </w:r>
    </w:p>
    <w:p w:rsidR="00460D7C" w:rsidRPr="00460D7C" w:rsidRDefault="00460D7C" w:rsidP="00460D7C">
      <w:pPr>
        <w:pStyle w:val="Legenda"/>
        <w:jc w:val="center"/>
        <w:rPr>
          <w:b/>
          <w:bCs/>
          <w:i w:val="0"/>
          <w:iCs w:val="0"/>
          <w:color w:val="auto"/>
          <w:sz w:val="20"/>
          <w:szCs w:val="20"/>
        </w:rPr>
      </w:pPr>
      <w:r w:rsidRPr="00460D7C">
        <w:rPr>
          <w:b/>
          <w:bCs/>
          <w:i w:val="0"/>
          <w:iCs w:val="0"/>
          <w:color w:val="auto"/>
          <w:sz w:val="20"/>
          <w:szCs w:val="20"/>
        </w:rPr>
        <w:lastRenderedPageBreak/>
        <w:t xml:space="preserve">Tabela </w:t>
      </w:r>
      <w:r w:rsidR="00FA2F7E" w:rsidRPr="00460D7C">
        <w:rPr>
          <w:b/>
          <w:bCs/>
          <w:i w:val="0"/>
          <w:iCs w:val="0"/>
          <w:noProof/>
          <w:color w:val="auto"/>
          <w:sz w:val="20"/>
          <w:szCs w:val="20"/>
        </w:rPr>
        <w:fldChar w:fldCharType="begin"/>
      </w:r>
      <w:r w:rsidRPr="00460D7C">
        <w:rPr>
          <w:b/>
          <w:bCs/>
          <w:i w:val="0"/>
          <w:iCs w:val="0"/>
          <w:noProof/>
          <w:color w:val="auto"/>
          <w:sz w:val="20"/>
          <w:szCs w:val="20"/>
        </w:rPr>
        <w:instrText xml:space="preserve"> SEQ Tabela \* ARABIC </w:instrText>
      </w:r>
      <w:r w:rsidR="00FA2F7E" w:rsidRPr="00460D7C">
        <w:rPr>
          <w:b/>
          <w:bCs/>
          <w:i w:val="0"/>
          <w:iCs w:val="0"/>
          <w:noProof/>
          <w:color w:val="auto"/>
          <w:sz w:val="20"/>
          <w:szCs w:val="20"/>
        </w:rPr>
        <w:fldChar w:fldCharType="separate"/>
      </w:r>
      <w:r w:rsidR="003A0BF1">
        <w:rPr>
          <w:b/>
          <w:bCs/>
          <w:i w:val="0"/>
          <w:iCs w:val="0"/>
          <w:noProof/>
          <w:color w:val="auto"/>
          <w:sz w:val="20"/>
          <w:szCs w:val="20"/>
        </w:rPr>
        <w:t>2</w:t>
      </w:r>
      <w:r w:rsidR="00FA2F7E" w:rsidRPr="00460D7C">
        <w:rPr>
          <w:b/>
          <w:bCs/>
          <w:i w:val="0"/>
          <w:iCs w:val="0"/>
          <w:noProof/>
          <w:color w:val="auto"/>
          <w:sz w:val="20"/>
          <w:szCs w:val="20"/>
        </w:rPr>
        <w:fldChar w:fldCharType="end"/>
      </w:r>
      <w:r w:rsidRPr="00460D7C">
        <w:rPr>
          <w:b/>
          <w:bCs/>
          <w:i w:val="0"/>
          <w:iCs w:val="0"/>
          <w:color w:val="auto"/>
          <w:sz w:val="20"/>
          <w:szCs w:val="20"/>
        </w:rPr>
        <w:t xml:space="preserve">. Rodziny korzystające z pomocy społecznej z powodu </w:t>
      </w:r>
      <w:r>
        <w:rPr>
          <w:b/>
          <w:bCs/>
          <w:i w:val="0"/>
          <w:iCs w:val="0"/>
          <w:color w:val="auto"/>
          <w:sz w:val="20"/>
          <w:szCs w:val="20"/>
        </w:rPr>
        <w:t xml:space="preserve">przemocy w rodzinie </w:t>
      </w:r>
      <w:r>
        <w:rPr>
          <w:b/>
          <w:bCs/>
          <w:i w:val="0"/>
          <w:iCs w:val="0"/>
          <w:color w:val="auto"/>
          <w:sz w:val="20"/>
          <w:szCs w:val="20"/>
        </w:rPr>
        <w:br/>
      </w:r>
      <w:r w:rsidRPr="00460D7C">
        <w:rPr>
          <w:b/>
          <w:bCs/>
          <w:i w:val="0"/>
          <w:iCs w:val="0"/>
          <w:color w:val="auto"/>
          <w:sz w:val="20"/>
          <w:szCs w:val="20"/>
        </w:rPr>
        <w:t>w gminach powiatu lidzbarskiego w latach 2018-2020</w:t>
      </w:r>
    </w:p>
    <w:tbl>
      <w:tblPr>
        <w:tblStyle w:val="Siatkatabelijasna1"/>
        <w:tblW w:w="8685" w:type="dxa"/>
        <w:jc w:val="center"/>
        <w:tblLook w:val="04A0"/>
      </w:tblPr>
      <w:tblGrid>
        <w:gridCol w:w="3508"/>
        <w:gridCol w:w="859"/>
        <w:gridCol w:w="892"/>
        <w:gridCol w:w="890"/>
        <w:gridCol w:w="754"/>
        <w:gridCol w:w="890"/>
        <w:gridCol w:w="892"/>
      </w:tblGrid>
      <w:tr w:rsidR="00460D7C" w:rsidRPr="004C45D6" w:rsidTr="00CC4644">
        <w:trPr>
          <w:trHeight w:val="378"/>
          <w:jc w:val="center"/>
        </w:trPr>
        <w:tc>
          <w:tcPr>
            <w:tcW w:w="3508" w:type="dxa"/>
            <w:vMerge w:val="restart"/>
            <w:shd w:val="clear" w:color="auto" w:fill="D9E2F3" w:themeFill="accent1" w:themeFillTint="33"/>
            <w:vAlign w:val="center"/>
            <w:hideMark/>
          </w:tcPr>
          <w:p w:rsidR="00460D7C" w:rsidRPr="004C45D6" w:rsidRDefault="00460D7C" w:rsidP="00D740E7">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Wyszczególnienie</w:t>
            </w:r>
          </w:p>
        </w:tc>
        <w:tc>
          <w:tcPr>
            <w:tcW w:w="1751" w:type="dxa"/>
            <w:gridSpan w:val="2"/>
            <w:shd w:val="clear" w:color="auto" w:fill="D9E2F3" w:themeFill="accent1" w:themeFillTint="33"/>
            <w:noWrap/>
            <w:vAlign w:val="center"/>
            <w:hideMark/>
          </w:tcPr>
          <w:p w:rsidR="00460D7C" w:rsidRPr="004C45D6" w:rsidRDefault="00460D7C" w:rsidP="00D740E7">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2018</w:t>
            </w:r>
          </w:p>
        </w:tc>
        <w:tc>
          <w:tcPr>
            <w:tcW w:w="1644" w:type="dxa"/>
            <w:gridSpan w:val="2"/>
            <w:shd w:val="clear" w:color="auto" w:fill="D9E2F3" w:themeFill="accent1" w:themeFillTint="33"/>
            <w:noWrap/>
            <w:vAlign w:val="center"/>
            <w:hideMark/>
          </w:tcPr>
          <w:p w:rsidR="00460D7C" w:rsidRPr="004C45D6" w:rsidRDefault="00460D7C" w:rsidP="00D740E7">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2019</w:t>
            </w:r>
          </w:p>
        </w:tc>
        <w:tc>
          <w:tcPr>
            <w:tcW w:w="1782" w:type="dxa"/>
            <w:gridSpan w:val="2"/>
            <w:shd w:val="clear" w:color="auto" w:fill="D9E2F3" w:themeFill="accent1" w:themeFillTint="33"/>
            <w:noWrap/>
            <w:vAlign w:val="center"/>
            <w:hideMark/>
          </w:tcPr>
          <w:p w:rsidR="00460D7C" w:rsidRPr="004C45D6" w:rsidRDefault="00460D7C" w:rsidP="00D740E7">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2020</w:t>
            </w:r>
          </w:p>
        </w:tc>
      </w:tr>
      <w:tr w:rsidR="00460D7C" w:rsidRPr="004C45D6" w:rsidTr="00CC4644">
        <w:trPr>
          <w:trHeight w:val="378"/>
          <w:jc w:val="center"/>
        </w:trPr>
        <w:tc>
          <w:tcPr>
            <w:tcW w:w="3508" w:type="dxa"/>
            <w:vMerge/>
            <w:shd w:val="clear" w:color="auto" w:fill="D9E2F3" w:themeFill="accent1" w:themeFillTint="33"/>
            <w:vAlign w:val="center"/>
            <w:hideMark/>
          </w:tcPr>
          <w:p w:rsidR="00460D7C" w:rsidRPr="004C45D6" w:rsidRDefault="00460D7C" w:rsidP="00D740E7">
            <w:pPr>
              <w:spacing w:after="0"/>
              <w:jc w:val="left"/>
              <w:rPr>
                <w:rFonts w:eastAsia="Times New Roman" w:cs="Calibri"/>
                <w:b/>
                <w:color w:val="000000"/>
                <w:sz w:val="20"/>
                <w:szCs w:val="20"/>
                <w:lang w:eastAsia="pl-PL"/>
              </w:rPr>
            </w:pPr>
          </w:p>
        </w:tc>
        <w:tc>
          <w:tcPr>
            <w:tcW w:w="859" w:type="dxa"/>
            <w:shd w:val="clear" w:color="auto" w:fill="D9E2F3" w:themeFill="accent1" w:themeFillTint="33"/>
            <w:noWrap/>
            <w:vAlign w:val="center"/>
            <w:hideMark/>
          </w:tcPr>
          <w:p w:rsidR="00460D7C" w:rsidRPr="004C45D6" w:rsidRDefault="00460D7C" w:rsidP="00D740E7">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rodzin</w:t>
            </w:r>
          </w:p>
        </w:tc>
        <w:tc>
          <w:tcPr>
            <w:tcW w:w="892" w:type="dxa"/>
            <w:shd w:val="clear" w:color="auto" w:fill="D9E2F3" w:themeFill="accent1" w:themeFillTint="33"/>
            <w:noWrap/>
            <w:vAlign w:val="center"/>
            <w:hideMark/>
          </w:tcPr>
          <w:p w:rsidR="00460D7C" w:rsidRPr="004C45D6" w:rsidRDefault="00460D7C" w:rsidP="00D740E7">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osób</w:t>
            </w:r>
          </w:p>
        </w:tc>
        <w:tc>
          <w:tcPr>
            <w:tcW w:w="890" w:type="dxa"/>
            <w:shd w:val="clear" w:color="auto" w:fill="D9E2F3" w:themeFill="accent1" w:themeFillTint="33"/>
            <w:noWrap/>
            <w:vAlign w:val="center"/>
            <w:hideMark/>
          </w:tcPr>
          <w:p w:rsidR="00460D7C" w:rsidRPr="004C45D6" w:rsidRDefault="00460D7C" w:rsidP="00D740E7">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rodzin</w:t>
            </w:r>
          </w:p>
        </w:tc>
        <w:tc>
          <w:tcPr>
            <w:tcW w:w="754" w:type="dxa"/>
            <w:shd w:val="clear" w:color="auto" w:fill="D9E2F3" w:themeFill="accent1" w:themeFillTint="33"/>
            <w:noWrap/>
            <w:vAlign w:val="center"/>
            <w:hideMark/>
          </w:tcPr>
          <w:p w:rsidR="00460D7C" w:rsidRPr="004C45D6" w:rsidRDefault="00460D7C" w:rsidP="00D740E7">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osób</w:t>
            </w:r>
          </w:p>
        </w:tc>
        <w:tc>
          <w:tcPr>
            <w:tcW w:w="890" w:type="dxa"/>
            <w:shd w:val="clear" w:color="auto" w:fill="D9E2F3" w:themeFill="accent1" w:themeFillTint="33"/>
            <w:noWrap/>
            <w:vAlign w:val="center"/>
            <w:hideMark/>
          </w:tcPr>
          <w:p w:rsidR="00460D7C" w:rsidRPr="004C45D6" w:rsidRDefault="00460D7C" w:rsidP="00D740E7">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rodzin</w:t>
            </w:r>
          </w:p>
        </w:tc>
        <w:tc>
          <w:tcPr>
            <w:tcW w:w="891" w:type="dxa"/>
            <w:shd w:val="clear" w:color="auto" w:fill="D9E2F3" w:themeFill="accent1" w:themeFillTint="33"/>
            <w:noWrap/>
            <w:vAlign w:val="center"/>
            <w:hideMark/>
          </w:tcPr>
          <w:p w:rsidR="00460D7C" w:rsidRPr="004C45D6" w:rsidRDefault="00460D7C" w:rsidP="00D740E7">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osób</w:t>
            </w:r>
          </w:p>
        </w:tc>
      </w:tr>
      <w:tr w:rsidR="00460D7C" w:rsidRPr="004C45D6" w:rsidTr="00CC4644">
        <w:trPr>
          <w:trHeight w:val="378"/>
          <w:jc w:val="center"/>
        </w:trPr>
        <w:tc>
          <w:tcPr>
            <w:tcW w:w="3508" w:type="dxa"/>
            <w:vAlign w:val="center"/>
            <w:hideMark/>
          </w:tcPr>
          <w:p w:rsidR="00460D7C" w:rsidRPr="004C45D6" w:rsidRDefault="00460D7C" w:rsidP="00460D7C">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Lidzbark Warmiński (gmina miejska)</w:t>
            </w:r>
          </w:p>
        </w:tc>
        <w:tc>
          <w:tcPr>
            <w:tcW w:w="859"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81</w:t>
            </w:r>
          </w:p>
        </w:tc>
        <w:tc>
          <w:tcPr>
            <w:tcW w:w="892"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255</w:t>
            </w:r>
          </w:p>
        </w:tc>
        <w:tc>
          <w:tcPr>
            <w:tcW w:w="890"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79</w:t>
            </w:r>
          </w:p>
        </w:tc>
        <w:tc>
          <w:tcPr>
            <w:tcW w:w="754"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254</w:t>
            </w:r>
          </w:p>
        </w:tc>
        <w:tc>
          <w:tcPr>
            <w:tcW w:w="890"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71</w:t>
            </w:r>
          </w:p>
        </w:tc>
        <w:tc>
          <w:tcPr>
            <w:tcW w:w="891"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219</w:t>
            </w:r>
          </w:p>
        </w:tc>
      </w:tr>
      <w:tr w:rsidR="00460D7C" w:rsidRPr="004C45D6" w:rsidTr="00CC4644">
        <w:trPr>
          <w:trHeight w:val="378"/>
          <w:jc w:val="center"/>
        </w:trPr>
        <w:tc>
          <w:tcPr>
            <w:tcW w:w="3508" w:type="dxa"/>
            <w:vAlign w:val="center"/>
            <w:hideMark/>
          </w:tcPr>
          <w:p w:rsidR="00460D7C" w:rsidRPr="004C45D6" w:rsidRDefault="00460D7C" w:rsidP="00460D7C">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Lidzbark Warmiński (gmina wiejska)</w:t>
            </w:r>
          </w:p>
        </w:tc>
        <w:tc>
          <w:tcPr>
            <w:tcW w:w="859"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3</w:t>
            </w:r>
          </w:p>
        </w:tc>
        <w:tc>
          <w:tcPr>
            <w:tcW w:w="892"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11</w:t>
            </w:r>
          </w:p>
        </w:tc>
        <w:tc>
          <w:tcPr>
            <w:tcW w:w="890"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4</w:t>
            </w:r>
          </w:p>
        </w:tc>
        <w:tc>
          <w:tcPr>
            <w:tcW w:w="754"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14</w:t>
            </w:r>
          </w:p>
        </w:tc>
        <w:tc>
          <w:tcPr>
            <w:tcW w:w="890"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5</w:t>
            </w:r>
          </w:p>
        </w:tc>
        <w:tc>
          <w:tcPr>
            <w:tcW w:w="891"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17</w:t>
            </w:r>
          </w:p>
        </w:tc>
      </w:tr>
      <w:tr w:rsidR="00460D7C" w:rsidRPr="004C45D6" w:rsidTr="00CC4644">
        <w:trPr>
          <w:trHeight w:val="378"/>
          <w:jc w:val="center"/>
        </w:trPr>
        <w:tc>
          <w:tcPr>
            <w:tcW w:w="3508" w:type="dxa"/>
            <w:vAlign w:val="center"/>
            <w:hideMark/>
          </w:tcPr>
          <w:p w:rsidR="00460D7C" w:rsidRPr="004C45D6" w:rsidRDefault="00460D7C" w:rsidP="00460D7C">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miasto i gmina Orneta</w:t>
            </w:r>
          </w:p>
        </w:tc>
        <w:tc>
          <w:tcPr>
            <w:tcW w:w="859"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43</w:t>
            </w:r>
          </w:p>
        </w:tc>
        <w:tc>
          <w:tcPr>
            <w:tcW w:w="892"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132</w:t>
            </w:r>
          </w:p>
        </w:tc>
        <w:tc>
          <w:tcPr>
            <w:tcW w:w="890"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23</w:t>
            </w:r>
          </w:p>
        </w:tc>
        <w:tc>
          <w:tcPr>
            <w:tcW w:w="754"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106</w:t>
            </w:r>
          </w:p>
        </w:tc>
        <w:tc>
          <w:tcPr>
            <w:tcW w:w="890"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8</w:t>
            </w:r>
          </w:p>
        </w:tc>
        <w:tc>
          <w:tcPr>
            <w:tcW w:w="891"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21</w:t>
            </w:r>
          </w:p>
        </w:tc>
      </w:tr>
      <w:tr w:rsidR="00460D7C" w:rsidRPr="004C45D6" w:rsidTr="00CC4644">
        <w:trPr>
          <w:trHeight w:val="378"/>
          <w:jc w:val="center"/>
        </w:trPr>
        <w:tc>
          <w:tcPr>
            <w:tcW w:w="3508" w:type="dxa"/>
            <w:vAlign w:val="center"/>
            <w:hideMark/>
          </w:tcPr>
          <w:p w:rsidR="00460D7C" w:rsidRPr="004C45D6" w:rsidRDefault="00460D7C" w:rsidP="00460D7C">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gmina Lubomino</w:t>
            </w:r>
          </w:p>
        </w:tc>
        <w:tc>
          <w:tcPr>
            <w:tcW w:w="859"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0</w:t>
            </w:r>
          </w:p>
        </w:tc>
        <w:tc>
          <w:tcPr>
            <w:tcW w:w="892"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0</w:t>
            </w:r>
          </w:p>
        </w:tc>
        <w:tc>
          <w:tcPr>
            <w:tcW w:w="890"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1</w:t>
            </w:r>
          </w:p>
        </w:tc>
        <w:tc>
          <w:tcPr>
            <w:tcW w:w="754"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6</w:t>
            </w:r>
          </w:p>
        </w:tc>
        <w:tc>
          <w:tcPr>
            <w:tcW w:w="890"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2</w:t>
            </w:r>
          </w:p>
        </w:tc>
        <w:tc>
          <w:tcPr>
            <w:tcW w:w="891"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8</w:t>
            </w:r>
          </w:p>
        </w:tc>
      </w:tr>
      <w:tr w:rsidR="00460D7C" w:rsidRPr="004C45D6" w:rsidTr="00CC4644">
        <w:trPr>
          <w:trHeight w:val="378"/>
          <w:jc w:val="center"/>
        </w:trPr>
        <w:tc>
          <w:tcPr>
            <w:tcW w:w="3508" w:type="dxa"/>
            <w:vAlign w:val="center"/>
            <w:hideMark/>
          </w:tcPr>
          <w:p w:rsidR="00460D7C" w:rsidRPr="004C45D6" w:rsidRDefault="00460D7C" w:rsidP="00460D7C">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gmina Kiwity</w:t>
            </w:r>
          </w:p>
        </w:tc>
        <w:tc>
          <w:tcPr>
            <w:tcW w:w="859"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0</w:t>
            </w:r>
          </w:p>
        </w:tc>
        <w:tc>
          <w:tcPr>
            <w:tcW w:w="892"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0</w:t>
            </w:r>
          </w:p>
        </w:tc>
        <w:tc>
          <w:tcPr>
            <w:tcW w:w="890"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0</w:t>
            </w:r>
          </w:p>
        </w:tc>
        <w:tc>
          <w:tcPr>
            <w:tcW w:w="754"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0</w:t>
            </w:r>
          </w:p>
        </w:tc>
        <w:tc>
          <w:tcPr>
            <w:tcW w:w="890"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0</w:t>
            </w:r>
          </w:p>
        </w:tc>
        <w:tc>
          <w:tcPr>
            <w:tcW w:w="891" w:type="dxa"/>
            <w:noWrap/>
            <w:vAlign w:val="center"/>
          </w:tcPr>
          <w:p w:rsidR="00460D7C" w:rsidRPr="00460D7C" w:rsidRDefault="00460D7C" w:rsidP="00460D7C">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0</w:t>
            </w:r>
          </w:p>
        </w:tc>
      </w:tr>
      <w:tr w:rsidR="00460D7C" w:rsidRPr="004C45D6" w:rsidTr="00CC4644">
        <w:trPr>
          <w:trHeight w:val="378"/>
          <w:jc w:val="center"/>
        </w:trPr>
        <w:tc>
          <w:tcPr>
            <w:tcW w:w="3508" w:type="dxa"/>
            <w:vAlign w:val="center"/>
            <w:hideMark/>
          </w:tcPr>
          <w:p w:rsidR="00460D7C" w:rsidRPr="004C45D6" w:rsidRDefault="00460D7C" w:rsidP="00460D7C">
            <w:pPr>
              <w:spacing w:after="0"/>
              <w:jc w:val="left"/>
              <w:rPr>
                <w:rFonts w:eastAsia="Times New Roman" w:cs="Calibri"/>
                <w:b/>
                <w:color w:val="000000"/>
                <w:sz w:val="20"/>
                <w:szCs w:val="20"/>
                <w:lang w:eastAsia="pl-PL"/>
              </w:rPr>
            </w:pPr>
            <w:r w:rsidRPr="004C45D6">
              <w:rPr>
                <w:rFonts w:eastAsia="Times New Roman" w:cs="Calibri"/>
                <w:b/>
                <w:color w:val="000000"/>
                <w:sz w:val="20"/>
                <w:szCs w:val="20"/>
                <w:lang w:eastAsia="pl-PL"/>
              </w:rPr>
              <w:t>RAZEM</w:t>
            </w:r>
          </w:p>
        </w:tc>
        <w:tc>
          <w:tcPr>
            <w:tcW w:w="859" w:type="dxa"/>
            <w:noWrap/>
            <w:vAlign w:val="center"/>
          </w:tcPr>
          <w:p w:rsidR="00460D7C" w:rsidRPr="00460D7C" w:rsidRDefault="00460D7C" w:rsidP="00460D7C">
            <w:pPr>
              <w:spacing w:after="0"/>
              <w:jc w:val="center"/>
              <w:rPr>
                <w:rFonts w:asciiTheme="minorHAnsi" w:eastAsia="Times New Roman" w:hAnsiTheme="minorHAnsi" w:cstheme="minorHAnsi"/>
                <w:b/>
                <w:bCs/>
                <w:color w:val="000000"/>
                <w:sz w:val="20"/>
                <w:szCs w:val="20"/>
                <w:lang w:eastAsia="pl-PL"/>
              </w:rPr>
            </w:pPr>
            <w:r w:rsidRPr="00460D7C">
              <w:rPr>
                <w:rFonts w:asciiTheme="minorHAnsi" w:hAnsiTheme="minorHAnsi" w:cstheme="minorHAnsi"/>
                <w:b/>
                <w:bCs/>
                <w:color w:val="000000"/>
                <w:sz w:val="20"/>
                <w:szCs w:val="20"/>
              </w:rPr>
              <w:t>127</w:t>
            </w:r>
          </w:p>
        </w:tc>
        <w:tc>
          <w:tcPr>
            <w:tcW w:w="892" w:type="dxa"/>
            <w:noWrap/>
            <w:vAlign w:val="center"/>
          </w:tcPr>
          <w:p w:rsidR="00460D7C" w:rsidRPr="00460D7C" w:rsidRDefault="00460D7C" w:rsidP="00460D7C">
            <w:pPr>
              <w:spacing w:after="0"/>
              <w:jc w:val="center"/>
              <w:rPr>
                <w:rFonts w:asciiTheme="minorHAnsi" w:eastAsia="Times New Roman" w:hAnsiTheme="minorHAnsi" w:cstheme="minorHAnsi"/>
                <w:b/>
                <w:bCs/>
                <w:color w:val="000000"/>
                <w:sz w:val="20"/>
                <w:szCs w:val="20"/>
                <w:lang w:eastAsia="pl-PL"/>
              </w:rPr>
            </w:pPr>
            <w:r w:rsidRPr="00460D7C">
              <w:rPr>
                <w:rFonts w:asciiTheme="minorHAnsi" w:hAnsiTheme="minorHAnsi" w:cstheme="minorHAnsi"/>
                <w:b/>
                <w:bCs/>
                <w:color w:val="000000"/>
                <w:sz w:val="20"/>
                <w:szCs w:val="20"/>
              </w:rPr>
              <w:t>398</w:t>
            </w:r>
          </w:p>
        </w:tc>
        <w:tc>
          <w:tcPr>
            <w:tcW w:w="890" w:type="dxa"/>
            <w:noWrap/>
            <w:vAlign w:val="center"/>
          </w:tcPr>
          <w:p w:rsidR="00460D7C" w:rsidRPr="00460D7C" w:rsidRDefault="00460D7C" w:rsidP="00460D7C">
            <w:pPr>
              <w:spacing w:after="0"/>
              <w:jc w:val="center"/>
              <w:rPr>
                <w:rFonts w:asciiTheme="minorHAnsi" w:eastAsia="Times New Roman" w:hAnsiTheme="minorHAnsi" w:cstheme="minorHAnsi"/>
                <w:b/>
                <w:bCs/>
                <w:color w:val="000000"/>
                <w:sz w:val="20"/>
                <w:szCs w:val="20"/>
                <w:lang w:eastAsia="pl-PL"/>
              </w:rPr>
            </w:pPr>
            <w:r w:rsidRPr="00460D7C">
              <w:rPr>
                <w:rFonts w:asciiTheme="minorHAnsi" w:hAnsiTheme="minorHAnsi" w:cstheme="minorHAnsi"/>
                <w:b/>
                <w:bCs/>
                <w:color w:val="000000"/>
                <w:sz w:val="20"/>
                <w:szCs w:val="20"/>
              </w:rPr>
              <w:t>107</w:t>
            </w:r>
          </w:p>
        </w:tc>
        <w:tc>
          <w:tcPr>
            <w:tcW w:w="754" w:type="dxa"/>
            <w:noWrap/>
            <w:vAlign w:val="center"/>
          </w:tcPr>
          <w:p w:rsidR="00460D7C" w:rsidRPr="00460D7C" w:rsidRDefault="00460D7C" w:rsidP="00460D7C">
            <w:pPr>
              <w:spacing w:after="0"/>
              <w:jc w:val="center"/>
              <w:rPr>
                <w:rFonts w:asciiTheme="minorHAnsi" w:eastAsia="Times New Roman" w:hAnsiTheme="minorHAnsi" w:cstheme="minorHAnsi"/>
                <w:b/>
                <w:bCs/>
                <w:color w:val="000000"/>
                <w:sz w:val="20"/>
                <w:szCs w:val="20"/>
                <w:lang w:eastAsia="pl-PL"/>
              </w:rPr>
            </w:pPr>
            <w:r w:rsidRPr="00460D7C">
              <w:rPr>
                <w:rFonts w:asciiTheme="minorHAnsi" w:hAnsiTheme="minorHAnsi" w:cstheme="minorHAnsi"/>
                <w:b/>
                <w:bCs/>
                <w:color w:val="000000"/>
                <w:sz w:val="20"/>
                <w:szCs w:val="20"/>
              </w:rPr>
              <w:t>380</w:t>
            </w:r>
          </w:p>
        </w:tc>
        <w:tc>
          <w:tcPr>
            <w:tcW w:w="890" w:type="dxa"/>
            <w:noWrap/>
            <w:vAlign w:val="center"/>
          </w:tcPr>
          <w:p w:rsidR="00460D7C" w:rsidRPr="00460D7C" w:rsidRDefault="00460D7C" w:rsidP="00460D7C">
            <w:pPr>
              <w:spacing w:after="0"/>
              <w:jc w:val="center"/>
              <w:rPr>
                <w:rFonts w:asciiTheme="minorHAnsi" w:eastAsia="Times New Roman" w:hAnsiTheme="minorHAnsi" w:cstheme="minorHAnsi"/>
                <w:b/>
                <w:bCs/>
                <w:color w:val="000000"/>
                <w:sz w:val="20"/>
                <w:szCs w:val="20"/>
                <w:lang w:eastAsia="pl-PL"/>
              </w:rPr>
            </w:pPr>
            <w:r w:rsidRPr="00460D7C">
              <w:rPr>
                <w:rFonts w:asciiTheme="minorHAnsi" w:hAnsiTheme="minorHAnsi" w:cstheme="minorHAnsi"/>
                <w:b/>
                <w:bCs/>
                <w:color w:val="000000"/>
                <w:sz w:val="20"/>
                <w:szCs w:val="20"/>
              </w:rPr>
              <w:t>86</w:t>
            </w:r>
          </w:p>
        </w:tc>
        <w:tc>
          <w:tcPr>
            <w:tcW w:w="891" w:type="dxa"/>
            <w:noWrap/>
            <w:vAlign w:val="center"/>
          </w:tcPr>
          <w:p w:rsidR="00460D7C" w:rsidRPr="00460D7C" w:rsidRDefault="00460D7C" w:rsidP="00460D7C">
            <w:pPr>
              <w:spacing w:after="0"/>
              <w:jc w:val="center"/>
              <w:rPr>
                <w:rFonts w:asciiTheme="minorHAnsi" w:eastAsia="Times New Roman" w:hAnsiTheme="minorHAnsi" w:cstheme="minorHAnsi"/>
                <w:b/>
                <w:bCs/>
                <w:color w:val="000000"/>
                <w:sz w:val="20"/>
                <w:szCs w:val="20"/>
                <w:lang w:eastAsia="pl-PL"/>
              </w:rPr>
            </w:pPr>
            <w:r w:rsidRPr="00460D7C">
              <w:rPr>
                <w:rFonts w:asciiTheme="minorHAnsi" w:hAnsiTheme="minorHAnsi" w:cstheme="minorHAnsi"/>
                <w:b/>
                <w:bCs/>
                <w:color w:val="000000"/>
                <w:sz w:val="20"/>
                <w:szCs w:val="20"/>
              </w:rPr>
              <w:t>265</w:t>
            </w:r>
          </w:p>
        </w:tc>
      </w:tr>
    </w:tbl>
    <w:p w:rsidR="00DE13D0" w:rsidRPr="00DE13D0" w:rsidRDefault="00DE13D0" w:rsidP="00DE13D0">
      <w:pPr>
        <w:pStyle w:val="Tekstprzypisudolnego"/>
        <w:spacing w:after="120"/>
        <w:rPr>
          <w:rStyle w:val="Odwoaniedelikatne"/>
        </w:rPr>
      </w:pPr>
      <w:r w:rsidRPr="00DE13D0">
        <w:rPr>
          <w:rStyle w:val="Odwoaniedelikatne"/>
        </w:rPr>
        <w:t>Źródło: opracowanie własne na podstawie sprawozdań MRiPS-03.</w:t>
      </w:r>
    </w:p>
    <w:p w:rsidR="0033280C" w:rsidRPr="00C86258" w:rsidRDefault="00460D7C" w:rsidP="00F431F6">
      <w:r w:rsidRPr="00460D7C">
        <w:t xml:space="preserve">Najwięcej osób korzysta ze wsparcia ośrodka pomocy społecznej z powodu przemocy </w:t>
      </w:r>
      <w:r w:rsidR="00F830F6">
        <w:br/>
      </w:r>
      <w:r w:rsidRPr="00460D7C">
        <w:t xml:space="preserve">w rodzinie w Lidzbarku Warmińskim – w 2020 roku było to 71 rodzin, w których żyło 219 osób. Rodziny te stanowiły 82,6% wszystkich rodzin objętych wsparciem z powodu przemocy. </w:t>
      </w:r>
      <w:r w:rsidR="00F830F6">
        <w:br/>
      </w:r>
      <w:r w:rsidRPr="00460D7C">
        <w:t xml:space="preserve">W gminie Orneta oraz gminach wiejskich Lidzbark Warmiński i Lubomino było to od 2 do 8 rodzin, natomiast w gminie Kiwity żadna rodzina nie korzystała z pomocy z tytułu problemu </w:t>
      </w:r>
      <w:r w:rsidRPr="00C86258">
        <w:t>przemocy.</w:t>
      </w:r>
    </w:p>
    <w:p w:rsidR="006B0DA3" w:rsidRPr="00770BAD" w:rsidRDefault="00365E5A" w:rsidP="00D47D24">
      <w:pPr>
        <w:rPr>
          <w:highlight w:val="yellow"/>
        </w:rPr>
      </w:pPr>
      <w:bookmarkStart w:id="9" w:name="_Hlk85825369"/>
      <w:r w:rsidRPr="00C86258">
        <w:t xml:space="preserve">Istotnych danych na temat zjawiska przemocy w rodzinie dostarczają sprawozdania </w:t>
      </w:r>
      <w:r w:rsidR="006B0DA3" w:rsidRPr="00C86258">
        <w:t xml:space="preserve">dotyczące </w:t>
      </w:r>
      <w:r w:rsidR="006B0DA3" w:rsidRPr="00A670CD">
        <w:t>stosowania procedury „Niebieskie Karty” pr</w:t>
      </w:r>
      <w:r w:rsidR="00F431F6" w:rsidRPr="00A670CD">
        <w:t>zez uprawnione podmioty w gminach powiatu lidzbarskiego.</w:t>
      </w:r>
      <w:r w:rsidR="006B0DA3" w:rsidRPr="00A670CD">
        <w:t xml:space="preserve"> W 20</w:t>
      </w:r>
      <w:r w:rsidR="00A670CD" w:rsidRPr="00A670CD">
        <w:t>20</w:t>
      </w:r>
      <w:r w:rsidR="006B0DA3" w:rsidRPr="00A670CD">
        <w:t xml:space="preserve"> roku </w:t>
      </w:r>
      <w:r w:rsidR="00227B28" w:rsidRPr="00A670CD">
        <w:t xml:space="preserve">liczba </w:t>
      </w:r>
      <w:r w:rsidR="00F431F6" w:rsidRPr="00A670CD">
        <w:t xml:space="preserve">rodzin objętych procedurą w powiecie lidzbarskim wynosiła </w:t>
      </w:r>
      <w:r w:rsidR="00A670CD" w:rsidRPr="00A670CD">
        <w:t>155</w:t>
      </w:r>
      <w:r w:rsidR="00F431F6" w:rsidRPr="00A670CD">
        <w:t>,</w:t>
      </w:r>
      <w:r w:rsidR="00825332" w:rsidRPr="00A670CD">
        <w:t xml:space="preserve"> przy czym w </w:t>
      </w:r>
      <w:r w:rsidR="00A670CD" w:rsidRPr="00A670CD">
        <w:t>99</w:t>
      </w:r>
      <w:r w:rsidR="00825332" w:rsidRPr="00A670CD">
        <w:t xml:space="preserve"> przypadkach procedura została wszczęta w ciągu roku. </w:t>
      </w:r>
    </w:p>
    <w:p w:rsidR="006B0DA3" w:rsidRPr="00C86258" w:rsidRDefault="006B0DA3" w:rsidP="006B0DA3">
      <w:pPr>
        <w:pStyle w:val="Legenda"/>
        <w:jc w:val="center"/>
        <w:rPr>
          <w:rStyle w:val="Tytuksiki"/>
          <w:i w:val="0"/>
        </w:rPr>
      </w:pPr>
      <w:r w:rsidRPr="00C86258">
        <w:rPr>
          <w:rStyle w:val="Tytuksiki"/>
          <w:i w:val="0"/>
        </w:rPr>
        <w:t xml:space="preserve">Tabela </w:t>
      </w:r>
      <w:r w:rsidR="00FA2F7E" w:rsidRPr="00C86258">
        <w:rPr>
          <w:rStyle w:val="Tytuksiki"/>
          <w:i w:val="0"/>
        </w:rPr>
        <w:fldChar w:fldCharType="begin"/>
      </w:r>
      <w:r w:rsidRPr="00C86258">
        <w:rPr>
          <w:rStyle w:val="Tytuksiki"/>
          <w:i w:val="0"/>
        </w:rPr>
        <w:instrText xml:space="preserve"> SEQ Tabela \* ARABIC </w:instrText>
      </w:r>
      <w:r w:rsidR="00FA2F7E" w:rsidRPr="00C86258">
        <w:rPr>
          <w:rStyle w:val="Tytuksiki"/>
          <w:i w:val="0"/>
        </w:rPr>
        <w:fldChar w:fldCharType="separate"/>
      </w:r>
      <w:r w:rsidR="003A0BF1">
        <w:rPr>
          <w:rStyle w:val="Tytuksiki"/>
          <w:i w:val="0"/>
          <w:noProof/>
        </w:rPr>
        <w:t>3</w:t>
      </w:r>
      <w:r w:rsidR="00FA2F7E" w:rsidRPr="00C86258">
        <w:rPr>
          <w:rStyle w:val="Tytuksiki"/>
          <w:i w:val="0"/>
        </w:rPr>
        <w:fldChar w:fldCharType="end"/>
      </w:r>
      <w:r w:rsidRPr="00C86258">
        <w:rPr>
          <w:rStyle w:val="Tytuksiki"/>
          <w:i w:val="0"/>
        </w:rPr>
        <w:t xml:space="preserve">. Stosowanie procedury „Niebieskie Karty” przez uprawnione podmioty w </w:t>
      </w:r>
      <w:r w:rsidR="00F431F6" w:rsidRPr="00C86258">
        <w:rPr>
          <w:rStyle w:val="Tytuksiki"/>
          <w:i w:val="0"/>
        </w:rPr>
        <w:t xml:space="preserve">powiecie lidzbarskim w </w:t>
      </w:r>
      <w:r w:rsidR="00F0130D" w:rsidRPr="00C86258">
        <w:rPr>
          <w:rStyle w:val="Tytuksiki"/>
          <w:i w:val="0"/>
        </w:rPr>
        <w:t>latach 2018-2020</w:t>
      </w:r>
    </w:p>
    <w:tbl>
      <w:tblPr>
        <w:tblStyle w:val="Siatkatabelijasna1"/>
        <w:tblW w:w="9043" w:type="dxa"/>
        <w:tblLook w:val="04A0"/>
      </w:tblPr>
      <w:tblGrid>
        <w:gridCol w:w="6485"/>
        <w:gridCol w:w="848"/>
        <w:gridCol w:w="849"/>
        <w:gridCol w:w="848"/>
        <w:gridCol w:w="13"/>
      </w:tblGrid>
      <w:tr w:rsidR="00F0130D" w:rsidRPr="00C86258" w:rsidTr="00F830F6">
        <w:trPr>
          <w:gridAfter w:val="1"/>
          <w:wAfter w:w="13" w:type="dxa"/>
          <w:trHeight w:val="473"/>
        </w:trPr>
        <w:tc>
          <w:tcPr>
            <w:tcW w:w="6485" w:type="dxa"/>
            <w:shd w:val="clear" w:color="auto" w:fill="D9E2F3" w:themeFill="accent1" w:themeFillTint="33"/>
            <w:vAlign w:val="center"/>
            <w:hideMark/>
          </w:tcPr>
          <w:p w:rsidR="00F0130D" w:rsidRPr="00C86258" w:rsidRDefault="00F0130D" w:rsidP="00886427">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Wyszczególnienie</w:t>
            </w:r>
          </w:p>
        </w:tc>
        <w:tc>
          <w:tcPr>
            <w:tcW w:w="848" w:type="dxa"/>
            <w:shd w:val="clear" w:color="auto" w:fill="D9E2F3" w:themeFill="accent1" w:themeFillTint="33"/>
            <w:vAlign w:val="center"/>
          </w:tcPr>
          <w:p w:rsidR="00F0130D" w:rsidRPr="00C86258" w:rsidRDefault="00F0130D" w:rsidP="00C86258">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2018</w:t>
            </w:r>
          </w:p>
        </w:tc>
        <w:tc>
          <w:tcPr>
            <w:tcW w:w="849" w:type="dxa"/>
            <w:shd w:val="clear" w:color="auto" w:fill="D9E2F3" w:themeFill="accent1" w:themeFillTint="33"/>
            <w:vAlign w:val="center"/>
          </w:tcPr>
          <w:p w:rsidR="00F0130D" w:rsidRPr="00C86258" w:rsidRDefault="00F0130D" w:rsidP="00C86258">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2019</w:t>
            </w:r>
          </w:p>
        </w:tc>
        <w:tc>
          <w:tcPr>
            <w:tcW w:w="848" w:type="dxa"/>
            <w:shd w:val="clear" w:color="auto" w:fill="D9E2F3" w:themeFill="accent1" w:themeFillTint="33"/>
            <w:noWrap/>
            <w:vAlign w:val="center"/>
            <w:hideMark/>
          </w:tcPr>
          <w:p w:rsidR="00F0130D" w:rsidRPr="00C86258" w:rsidRDefault="00F0130D" w:rsidP="00C86258">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2020</w:t>
            </w:r>
          </w:p>
        </w:tc>
      </w:tr>
      <w:tr w:rsidR="00A670CD" w:rsidRPr="00C86258" w:rsidTr="00F830F6">
        <w:trPr>
          <w:gridAfter w:val="1"/>
          <w:wAfter w:w="13" w:type="dxa"/>
          <w:trHeight w:val="358"/>
        </w:trPr>
        <w:tc>
          <w:tcPr>
            <w:tcW w:w="6485" w:type="dxa"/>
            <w:vAlign w:val="center"/>
          </w:tcPr>
          <w:p w:rsidR="00A670CD" w:rsidRPr="00C86258" w:rsidRDefault="00A670CD" w:rsidP="00A670CD">
            <w:pPr>
              <w:spacing w:after="0"/>
              <w:jc w:val="left"/>
              <w:rPr>
                <w:rFonts w:eastAsia="Times New Roman"/>
                <w:bCs/>
                <w:color w:val="000000"/>
                <w:sz w:val="20"/>
                <w:szCs w:val="20"/>
                <w:highlight w:val="yellow"/>
                <w:lang w:eastAsia="pl-PL"/>
              </w:rPr>
            </w:pPr>
            <w:r w:rsidRPr="00C86258">
              <w:rPr>
                <w:rFonts w:cs="Calibri"/>
                <w:color w:val="000000"/>
                <w:sz w:val="20"/>
                <w:szCs w:val="20"/>
              </w:rPr>
              <w:t>Liczba sporządzonych formularzy "Niebieskich Kart - A" przez pracowników socjalnych wszczynających procedurę</w:t>
            </w:r>
          </w:p>
        </w:tc>
        <w:tc>
          <w:tcPr>
            <w:tcW w:w="848" w:type="dxa"/>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28</w:t>
            </w:r>
          </w:p>
        </w:tc>
        <w:tc>
          <w:tcPr>
            <w:tcW w:w="849" w:type="dxa"/>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14</w:t>
            </w:r>
          </w:p>
        </w:tc>
        <w:tc>
          <w:tcPr>
            <w:tcW w:w="848" w:type="dxa"/>
            <w:noWrap/>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12</w:t>
            </w:r>
          </w:p>
        </w:tc>
      </w:tr>
      <w:tr w:rsidR="00A670CD" w:rsidRPr="00C86258" w:rsidTr="00F830F6">
        <w:trPr>
          <w:gridAfter w:val="1"/>
          <w:wAfter w:w="13" w:type="dxa"/>
          <w:trHeight w:val="358"/>
        </w:trPr>
        <w:tc>
          <w:tcPr>
            <w:tcW w:w="6485" w:type="dxa"/>
            <w:vAlign w:val="center"/>
          </w:tcPr>
          <w:p w:rsidR="00A670CD" w:rsidRPr="00C86258" w:rsidRDefault="00A670CD" w:rsidP="00A670CD">
            <w:pPr>
              <w:spacing w:after="0"/>
              <w:jc w:val="left"/>
              <w:rPr>
                <w:rFonts w:eastAsia="Times New Roman"/>
                <w:bCs/>
                <w:color w:val="000000"/>
                <w:sz w:val="20"/>
                <w:szCs w:val="20"/>
                <w:highlight w:val="yellow"/>
                <w:lang w:eastAsia="pl-PL"/>
              </w:rPr>
            </w:pPr>
            <w:r w:rsidRPr="00C86258">
              <w:rPr>
                <w:rFonts w:cs="Calibri"/>
                <w:color w:val="000000"/>
                <w:sz w:val="20"/>
                <w:szCs w:val="20"/>
              </w:rPr>
              <w:t>Liczba sporządzonych formularzy "Niebieskich Kart - C" przez członków zespołu interdyscyplinarnego / grupy robocze</w:t>
            </w:r>
            <w:r w:rsidR="00556091">
              <w:rPr>
                <w:rFonts w:cs="Calibri"/>
                <w:color w:val="000000"/>
                <w:sz w:val="20"/>
                <w:szCs w:val="20"/>
              </w:rPr>
              <w:t>j</w:t>
            </w:r>
          </w:p>
        </w:tc>
        <w:tc>
          <w:tcPr>
            <w:tcW w:w="848" w:type="dxa"/>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163</w:t>
            </w:r>
          </w:p>
        </w:tc>
        <w:tc>
          <w:tcPr>
            <w:tcW w:w="849" w:type="dxa"/>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104</w:t>
            </w:r>
          </w:p>
        </w:tc>
        <w:tc>
          <w:tcPr>
            <w:tcW w:w="848" w:type="dxa"/>
            <w:noWrap/>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112</w:t>
            </w:r>
          </w:p>
        </w:tc>
      </w:tr>
      <w:tr w:rsidR="00A670CD" w:rsidRPr="00C86258" w:rsidTr="00F830F6">
        <w:trPr>
          <w:gridAfter w:val="1"/>
          <w:wAfter w:w="13" w:type="dxa"/>
          <w:trHeight w:val="358"/>
        </w:trPr>
        <w:tc>
          <w:tcPr>
            <w:tcW w:w="6485" w:type="dxa"/>
            <w:vAlign w:val="center"/>
          </w:tcPr>
          <w:p w:rsidR="00A670CD" w:rsidRPr="00C86258" w:rsidRDefault="00A670CD" w:rsidP="00A670CD">
            <w:pPr>
              <w:spacing w:after="0"/>
              <w:jc w:val="left"/>
              <w:rPr>
                <w:rFonts w:eastAsia="Times New Roman"/>
                <w:bCs/>
                <w:color w:val="000000"/>
                <w:sz w:val="20"/>
                <w:szCs w:val="20"/>
                <w:highlight w:val="yellow"/>
                <w:lang w:eastAsia="pl-PL"/>
              </w:rPr>
            </w:pPr>
            <w:r w:rsidRPr="00C86258">
              <w:rPr>
                <w:rFonts w:cs="Calibri"/>
                <w:color w:val="000000"/>
                <w:sz w:val="20"/>
                <w:szCs w:val="20"/>
              </w:rPr>
              <w:t>Liczba sporządzonych formularzy "Niebieskich Kart - D" przez członków zespołu interdyscyplinarnego / grupy roboczej</w:t>
            </w:r>
          </w:p>
        </w:tc>
        <w:tc>
          <w:tcPr>
            <w:tcW w:w="848" w:type="dxa"/>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143</w:t>
            </w:r>
          </w:p>
        </w:tc>
        <w:tc>
          <w:tcPr>
            <w:tcW w:w="849" w:type="dxa"/>
            <w:vAlign w:val="center"/>
          </w:tcPr>
          <w:p w:rsidR="00A670CD" w:rsidRPr="00C86258" w:rsidRDefault="00A670CD" w:rsidP="00A670CD">
            <w:pPr>
              <w:spacing w:after="0"/>
              <w:jc w:val="center"/>
              <w:rPr>
                <w:rFonts w:eastAsia="Times New Roman"/>
                <w:color w:val="000000"/>
                <w:sz w:val="20"/>
                <w:szCs w:val="20"/>
                <w:highlight w:val="yellow"/>
                <w:lang w:eastAsia="pl-PL"/>
              </w:rPr>
            </w:pPr>
            <w:r w:rsidRPr="00A670CD">
              <w:rPr>
                <w:rFonts w:eastAsia="Times New Roman"/>
                <w:color w:val="000000"/>
                <w:sz w:val="20"/>
              </w:rPr>
              <w:t>78</w:t>
            </w:r>
          </w:p>
        </w:tc>
        <w:tc>
          <w:tcPr>
            <w:tcW w:w="848" w:type="dxa"/>
            <w:noWrap/>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75</w:t>
            </w:r>
          </w:p>
        </w:tc>
      </w:tr>
      <w:tr w:rsidR="00A670CD" w:rsidRPr="00C86258" w:rsidTr="00F830F6">
        <w:trPr>
          <w:gridAfter w:val="1"/>
          <w:wAfter w:w="13" w:type="dxa"/>
          <w:trHeight w:val="358"/>
        </w:trPr>
        <w:tc>
          <w:tcPr>
            <w:tcW w:w="6485" w:type="dxa"/>
            <w:vAlign w:val="center"/>
          </w:tcPr>
          <w:p w:rsidR="00A670CD" w:rsidRPr="00C86258" w:rsidRDefault="00A670CD" w:rsidP="00A670CD">
            <w:pPr>
              <w:spacing w:after="0"/>
              <w:jc w:val="left"/>
              <w:rPr>
                <w:rFonts w:eastAsia="Times New Roman"/>
                <w:bCs/>
                <w:color w:val="000000"/>
                <w:sz w:val="20"/>
                <w:szCs w:val="20"/>
                <w:highlight w:val="yellow"/>
                <w:lang w:eastAsia="pl-PL"/>
              </w:rPr>
            </w:pPr>
            <w:r w:rsidRPr="00C86258">
              <w:rPr>
                <w:rFonts w:cs="Calibri"/>
                <w:color w:val="000000"/>
                <w:sz w:val="20"/>
                <w:szCs w:val="20"/>
              </w:rPr>
              <w:t>Liczba rodzin objętych procedurą "Niebieskie Karty"</w:t>
            </w:r>
          </w:p>
        </w:tc>
        <w:tc>
          <w:tcPr>
            <w:tcW w:w="848" w:type="dxa"/>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172</w:t>
            </w:r>
          </w:p>
        </w:tc>
        <w:tc>
          <w:tcPr>
            <w:tcW w:w="849" w:type="dxa"/>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139</w:t>
            </w:r>
          </w:p>
        </w:tc>
        <w:tc>
          <w:tcPr>
            <w:tcW w:w="848" w:type="dxa"/>
            <w:noWrap/>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155</w:t>
            </w:r>
          </w:p>
        </w:tc>
      </w:tr>
      <w:tr w:rsidR="00A670CD" w:rsidRPr="00C86258" w:rsidTr="00F830F6">
        <w:trPr>
          <w:gridAfter w:val="1"/>
          <w:wAfter w:w="13" w:type="dxa"/>
          <w:trHeight w:val="358"/>
        </w:trPr>
        <w:tc>
          <w:tcPr>
            <w:tcW w:w="6485" w:type="dxa"/>
            <w:vAlign w:val="center"/>
          </w:tcPr>
          <w:p w:rsidR="00A670CD" w:rsidRPr="00C86258" w:rsidRDefault="00A670CD" w:rsidP="00A670CD">
            <w:pPr>
              <w:spacing w:after="0"/>
              <w:jc w:val="left"/>
              <w:rPr>
                <w:rFonts w:eastAsia="Times New Roman"/>
                <w:bCs/>
                <w:color w:val="000000"/>
                <w:sz w:val="20"/>
                <w:szCs w:val="20"/>
                <w:highlight w:val="yellow"/>
                <w:lang w:eastAsia="pl-PL"/>
              </w:rPr>
            </w:pPr>
            <w:r w:rsidRPr="00C86258">
              <w:rPr>
                <w:rFonts w:cs="Calibri"/>
                <w:color w:val="000000"/>
                <w:sz w:val="20"/>
                <w:szCs w:val="20"/>
              </w:rPr>
              <w:t xml:space="preserve">Liczba rodzin wobec których wszczęto procedurę "Niebieskie Karty" </w:t>
            </w:r>
            <w:r w:rsidR="00386FA7">
              <w:rPr>
                <w:rFonts w:cs="Calibri"/>
                <w:color w:val="000000"/>
                <w:sz w:val="20"/>
                <w:szCs w:val="20"/>
              </w:rPr>
              <w:t xml:space="preserve">                         </w:t>
            </w:r>
            <w:r w:rsidRPr="00C86258">
              <w:rPr>
                <w:rFonts w:cs="Calibri"/>
                <w:color w:val="000000"/>
                <w:sz w:val="20"/>
                <w:szCs w:val="20"/>
              </w:rPr>
              <w:t>w okresie sprawozdawczym</w:t>
            </w:r>
          </w:p>
        </w:tc>
        <w:tc>
          <w:tcPr>
            <w:tcW w:w="848" w:type="dxa"/>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111</w:t>
            </w:r>
          </w:p>
        </w:tc>
        <w:tc>
          <w:tcPr>
            <w:tcW w:w="849" w:type="dxa"/>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108</w:t>
            </w:r>
          </w:p>
        </w:tc>
        <w:tc>
          <w:tcPr>
            <w:tcW w:w="848" w:type="dxa"/>
            <w:noWrap/>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99</w:t>
            </w:r>
          </w:p>
        </w:tc>
      </w:tr>
      <w:tr w:rsidR="00F0130D" w:rsidRPr="00C86258" w:rsidTr="00F830F6">
        <w:trPr>
          <w:trHeight w:val="337"/>
        </w:trPr>
        <w:tc>
          <w:tcPr>
            <w:tcW w:w="9043" w:type="dxa"/>
            <w:gridSpan w:val="5"/>
            <w:vAlign w:val="center"/>
          </w:tcPr>
          <w:p w:rsidR="00F0130D" w:rsidRPr="00C86258" w:rsidRDefault="00C86258" w:rsidP="00886427">
            <w:pPr>
              <w:spacing w:after="0"/>
              <w:rPr>
                <w:rFonts w:eastAsia="Times New Roman"/>
                <w:color w:val="000000"/>
                <w:sz w:val="20"/>
                <w:szCs w:val="20"/>
                <w:highlight w:val="yellow"/>
                <w:lang w:eastAsia="pl-PL"/>
              </w:rPr>
            </w:pPr>
            <w:r w:rsidRPr="00C86258">
              <w:rPr>
                <w:rFonts w:eastAsia="Times New Roman"/>
                <w:color w:val="000000"/>
                <w:sz w:val="20"/>
                <w:szCs w:val="20"/>
                <w:lang w:eastAsia="pl-PL"/>
              </w:rPr>
              <w:t>Liczba zakończonych procedur Niebieskie Karty w przypadku:</w:t>
            </w:r>
          </w:p>
        </w:tc>
      </w:tr>
      <w:tr w:rsidR="00A670CD" w:rsidRPr="00C86258" w:rsidTr="00F830F6">
        <w:trPr>
          <w:gridAfter w:val="1"/>
          <w:wAfter w:w="13" w:type="dxa"/>
          <w:trHeight w:val="567"/>
        </w:trPr>
        <w:tc>
          <w:tcPr>
            <w:tcW w:w="6485" w:type="dxa"/>
            <w:vAlign w:val="center"/>
          </w:tcPr>
          <w:p w:rsidR="00A670CD" w:rsidRPr="00C86258" w:rsidRDefault="00A670CD" w:rsidP="00A670CD">
            <w:pPr>
              <w:spacing w:after="0"/>
              <w:jc w:val="left"/>
              <w:rPr>
                <w:rFonts w:eastAsia="Times New Roman"/>
                <w:bCs/>
                <w:color w:val="000000"/>
                <w:sz w:val="20"/>
                <w:szCs w:val="20"/>
                <w:highlight w:val="yellow"/>
                <w:lang w:eastAsia="pl-PL"/>
              </w:rPr>
            </w:pPr>
            <w:r w:rsidRPr="00C86258">
              <w:rPr>
                <w:rFonts w:cs="Calibri"/>
                <w:color w:val="000000"/>
                <w:sz w:val="20"/>
                <w:szCs w:val="20"/>
              </w:rPr>
              <w:t xml:space="preserve"> - ustania przemocy w rodzinie i uzasadnionego przypuszczenia </w:t>
            </w:r>
            <w:r w:rsidR="00386FA7">
              <w:rPr>
                <w:rFonts w:cs="Calibri"/>
                <w:color w:val="000000"/>
                <w:sz w:val="20"/>
                <w:szCs w:val="20"/>
              </w:rPr>
              <w:t xml:space="preserve">                                        </w:t>
            </w:r>
            <w:r w:rsidRPr="00C86258">
              <w:rPr>
                <w:rFonts w:cs="Calibri"/>
                <w:color w:val="000000"/>
                <w:sz w:val="20"/>
                <w:szCs w:val="20"/>
              </w:rPr>
              <w:t xml:space="preserve">o zaprzestaniu dalszego stosowania przemocy w rodzinie </w:t>
            </w:r>
            <w:r w:rsidR="00386FA7">
              <w:rPr>
                <w:rFonts w:cs="Calibri"/>
                <w:color w:val="000000"/>
                <w:sz w:val="20"/>
                <w:szCs w:val="20"/>
              </w:rPr>
              <w:t xml:space="preserve">                                           </w:t>
            </w:r>
            <w:r w:rsidRPr="00C86258">
              <w:rPr>
                <w:rFonts w:cs="Calibri"/>
                <w:color w:val="000000"/>
                <w:sz w:val="20"/>
                <w:szCs w:val="20"/>
              </w:rPr>
              <w:t>oraz po zrealizowaniu  indywidualnego planu pomocy</w:t>
            </w:r>
          </w:p>
        </w:tc>
        <w:tc>
          <w:tcPr>
            <w:tcW w:w="848" w:type="dxa"/>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90</w:t>
            </w:r>
          </w:p>
        </w:tc>
        <w:tc>
          <w:tcPr>
            <w:tcW w:w="849" w:type="dxa"/>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101</w:t>
            </w:r>
          </w:p>
        </w:tc>
        <w:tc>
          <w:tcPr>
            <w:tcW w:w="848" w:type="dxa"/>
            <w:noWrap/>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86</w:t>
            </w:r>
          </w:p>
        </w:tc>
      </w:tr>
      <w:tr w:rsidR="00A670CD" w:rsidRPr="00C86258" w:rsidTr="00F830F6">
        <w:trPr>
          <w:gridAfter w:val="1"/>
          <w:wAfter w:w="13" w:type="dxa"/>
          <w:trHeight w:val="358"/>
        </w:trPr>
        <w:tc>
          <w:tcPr>
            <w:tcW w:w="6485" w:type="dxa"/>
            <w:vAlign w:val="center"/>
          </w:tcPr>
          <w:p w:rsidR="00A670CD" w:rsidRPr="00C86258" w:rsidRDefault="00A670CD" w:rsidP="00A670CD">
            <w:pPr>
              <w:spacing w:after="0"/>
              <w:jc w:val="left"/>
              <w:rPr>
                <w:rFonts w:eastAsia="Times New Roman"/>
                <w:bCs/>
                <w:color w:val="000000"/>
                <w:sz w:val="20"/>
                <w:szCs w:val="20"/>
                <w:highlight w:val="yellow"/>
                <w:lang w:eastAsia="pl-PL"/>
              </w:rPr>
            </w:pPr>
            <w:r w:rsidRPr="00C86258">
              <w:rPr>
                <w:rFonts w:cs="Calibri"/>
                <w:color w:val="000000"/>
                <w:sz w:val="20"/>
                <w:szCs w:val="20"/>
              </w:rPr>
              <w:t xml:space="preserve"> - rozstrzygnięcia o braku zasadności podejmowania działań</w:t>
            </w:r>
          </w:p>
        </w:tc>
        <w:tc>
          <w:tcPr>
            <w:tcW w:w="848" w:type="dxa"/>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11</w:t>
            </w:r>
          </w:p>
        </w:tc>
        <w:tc>
          <w:tcPr>
            <w:tcW w:w="849" w:type="dxa"/>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13</w:t>
            </w:r>
          </w:p>
        </w:tc>
        <w:tc>
          <w:tcPr>
            <w:tcW w:w="848" w:type="dxa"/>
            <w:noWrap/>
            <w:vAlign w:val="center"/>
          </w:tcPr>
          <w:p w:rsidR="00A670CD" w:rsidRPr="00C86258" w:rsidRDefault="00A670CD" w:rsidP="00A670CD">
            <w:pPr>
              <w:spacing w:after="0"/>
              <w:jc w:val="center"/>
              <w:rPr>
                <w:rFonts w:eastAsia="Times New Roman"/>
                <w:color w:val="000000"/>
                <w:sz w:val="20"/>
                <w:szCs w:val="20"/>
                <w:highlight w:val="yellow"/>
                <w:lang w:eastAsia="pl-PL"/>
              </w:rPr>
            </w:pPr>
            <w:r>
              <w:rPr>
                <w:rFonts w:cs="Calibri"/>
                <w:color w:val="000000"/>
              </w:rPr>
              <w:t>6</w:t>
            </w:r>
          </w:p>
        </w:tc>
      </w:tr>
    </w:tbl>
    <w:p w:rsidR="00F431F6" w:rsidRPr="00C86258" w:rsidRDefault="00F431F6" w:rsidP="00F431F6">
      <w:pPr>
        <w:pStyle w:val="Legenda"/>
        <w:spacing w:before="120" w:after="120"/>
        <w:rPr>
          <w:rStyle w:val="Odwoaniedelikatne"/>
          <w:i w:val="0"/>
        </w:rPr>
      </w:pPr>
      <w:r w:rsidRPr="00C86258">
        <w:rPr>
          <w:rStyle w:val="Odwoaniedelikatne"/>
          <w:i w:val="0"/>
        </w:rPr>
        <w:t>Źródło: opracowanie własne na podstawie danych gmin powiatu lidzbarskiego.</w:t>
      </w:r>
    </w:p>
    <w:p w:rsidR="00556091" w:rsidRDefault="00556091" w:rsidP="00D47D24">
      <w:r w:rsidRPr="00A670CD">
        <w:t xml:space="preserve">Zakończenie procedury miało miejsce w 92 przypadkach, w tym w 86 z powodu ustania przemocy w rodzinie i uzasadnionego przypuszczenia o zaprzestaniu dalszego stosowania </w:t>
      </w:r>
      <w:r w:rsidRPr="00A670CD">
        <w:lastRenderedPageBreak/>
        <w:t>przemocy w rodzinie oraz po zrealizowaniu indywidualnego planu pomocy, natomiast</w:t>
      </w:r>
      <w:r w:rsidR="00634E71">
        <w:t xml:space="preserve">                                      </w:t>
      </w:r>
      <w:r w:rsidRPr="00A670CD">
        <w:t xml:space="preserve"> w 6 w wyniku rozstrzygnięcia o braku zasadności podejmowanych działań. </w:t>
      </w:r>
    </w:p>
    <w:p w:rsidR="00556091" w:rsidRPr="00556091" w:rsidRDefault="00556091" w:rsidP="00D47D24">
      <w:r>
        <w:t xml:space="preserve">W porównaniu do 2018 roku liczba rodzin objętych procedurą NK zmniejszyła się o 17, jednak w odniesieniu do 2019 roku wzrosła o 16. Ogólna liczba sporządzonych formularzy NK w latach 2018-2020 uległa spadkowi: w przypadku </w:t>
      </w:r>
      <w:proofErr w:type="spellStart"/>
      <w:r>
        <w:t>NK-A</w:t>
      </w:r>
      <w:proofErr w:type="spellEnd"/>
      <w:r>
        <w:t xml:space="preserve"> sporządzanych przez pracowników socjalnych </w:t>
      </w:r>
      <w:r w:rsidR="00634E71">
        <w:t>wszczynających procedurę</w:t>
      </w:r>
      <w:r w:rsidRPr="00556091">
        <w:t xml:space="preserve"> o 16, w przypadku </w:t>
      </w:r>
      <w:proofErr w:type="spellStart"/>
      <w:r w:rsidRPr="00556091">
        <w:t>NK-C</w:t>
      </w:r>
      <w:proofErr w:type="spellEnd"/>
      <w:r w:rsidRPr="00556091">
        <w:t xml:space="preserve"> sporządzanych przez członków Zespołu Interdy</w:t>
      </w:r>
      <w:r w:rsidR="00634E71">
        <w:t>scyplinarnego i grupy roboczej</w:t>
      </w:r>
      <w:r w:rsidRPr="00556091">
        <w:t xml:space="preserve"> o 51, natomiast liczba </w:t>
      </w:r>
      <w:proofErr w:type="spellStart"/>
      <w:r w:rsidRPr="00556091">
        <w:t>NK-D</w:t>
      </w:r>
      <w:proofErr w:type="spellEnd"/>
      <w:r w:rsidRPr="00556091">
        <w:t xml:space="preserve">  zmniejszyła </w:t>
      </w:r>
      <w:r w:rsidR="00634E71">
        <w:t xml:space="preserve">                    </w:t>
      </w:r>
      <w:r w:rsidRPr="00556091">
        <w:t>się o 68.</w:t>
      </w:r>
    </w:p>
    <w:p w:rsidR="00365E5A" w:rsidRPr="00556091" w:rsidRDefault="00AF0A7A" w:rsidP="00D47D24">
      <w:r w:rsidRPr="00556091">
        <w:t>Na skalę zjawiska przemocy w rodzinie mogą wskazywać dane dotyczące działalności Zespoł</w:t>
      </w:r>
      <w:r w:rsidR="00825332" w:rsidRPr="00556091">
        <w:t>ów</w:t>
      </w:r>
      <w:r w:rsidRPr="00556091">
        <w:t xml:space="preserve"> Interdyscyplinarn</w:t>
      </w:r>
      <w:r w:rsidR="00825332" w:rsidRPr="00556091">
        <w:t>ych</w:t>
      </w:r>
      <w:r w:rsidRPr="00556091">
        <w:t xml:space="preserve">. </w:t>
      </w:r>
      <w:r w:rsidR="00365E5A" w:rsidRPr="00556091">
        <w:t>W</w:t>
      </w:r>
      <w:r w:rsidR="00634E71">
        <w:t xml:space="preserve"> </w:t>
      </w:r>
      <w:r w:rsidRPr="00556091">
        <w:t>ramach</w:t>
      </w:r>
      <w:r w:rsidR="001A553D" w:rsidRPr="00556091">
        <w:t xml:space="preserve"> </w:t>
      </w:r>
      <w:r w:rsidR="00634E71">
        <w:t xml:space="preserve">ich działalności </w:t>
      </w:r>
      <w:r w:rsidR="001A553D" w:rsidRPr="00556091">
        <w:t>w</w:t>
      </w:r>
      <w:r w:rsidR="00365E5A" w:rsidRPr="00556091">
        <w:t xml:space="preserve"> 20</w:t>
      </w:r>
      <w:r w:rsidR="00556091" w:rsidRPr="00556091">
        <w:t>20</w:t>
      </w:r>
      <w:r w:rsidR="00365E5A" w:rsidRPr="00556091">
        <w:t xml:space="preserve"> roku </w:t>
      </w:r>
      <w:r w:rsidR="001A553D" w:rsidRPr="00556091">
        <w:t>został</w:t>
      </w:r>
      <w:r w:rsidRPr="00556091">
        <w:t>o</w:t>
      </w:r>
      <w:r w:rsidR="00634E71">
        <w:t xml:space="preserve"> </w:t>
      </w:r>
      <w:r w:rsidR="006B0DA3" w:rsidRPr="00556091">
        <w:t>utworzon</w:t>
      </w:r>
      <w:r w:rsidRPr="00556091">
        <w:t>ych</w:t>
      </w:r>
      <w:r w:rsidR="00634E71">
        <w:t xml:space="preserve"> </w:t>
      </w:r>
      <w:r w:rsidR="00825332" w:rsidRPr="00556091">
        <w:t>10</w:t>
      </w:r>
      <w:r w:rsidR="00556091" w:rsidRPr="00556091">
        <w:t>7</w:t>
      </w:r>
      <w:r w:rsidRPr="00556091">
        <w:t xml:space="preserve"> grup roboczych</w:t>
      </w:r>
      <w:r w:rsidR="006B0DA3" w:rsidRPr="00556091">
        <w:t xml:space="preserve">, które objęły pomocą </w:t>
      </w:r>
      <w:r w:rsidR="00556091" w:rsidRPr="00556091">
        <w:t>458</w:t>
      </w:r>
      <w:r w:rsidR="00634E71">
        <w:t xml:space="preserve"> </w:t>
      </w:r>
      <w:r w:rsidR="006B0DA3" w:rsidRPr="00556091">
        <w:t>osób z</w:t>
      </w:r>
      <w:r w:rsidR="00825332" w:rsidRPr="00556091">
        <w:t>e</w:t>
      </w:r>
      <w:r w:rsidR="00634E71">
        <w:t xml:space="preserve"> </w:t>
      </w:r>
      <w:r w:rsidR="00825332" w:rsidRPr="00556091">
        <w:t>1</w:t>
      </w:r>
      <w:r w:rsidR="00556091" w:rsidRPr="00556091">
        <w:t>55</w:t>
      </w:r>
      <w:r w:rsidRPr="00556091">
        <w:t xml:space="preserve"> rodzin. Wśród tych osób był</w:t>
      </w:r>
      <w:r w:rsidR="00825332" w:rsidRPr="00556091">
        <w:t>o</w:t>
      </w:r>
      <w:r w:rsidR="00634E71">
        <w:t xml:space="preserve">                  </w:t>
      </w:r>
      <w:r w:rsidR="00556091" w:rsidRPr="00556091">
        <w:t>161</w:t>
      </w:r>
      <w:r w:rsidR="00825332" w:rsidRPr="00556091">
        <w:t xml:space="preserve"> kobiet</w:t>
      </w:r>
      <w:r w:rsidR="00634E71">
        <w:t xml:space="preserve"> </w:t>
      </w:r>
      <w:r w:rsidR="006B0DA3" w:rsidRPr="00556091">
        <w:t xml:space="preserve">i </w:t>
      </w:r>
      <w:r w:rsidR="00556091" w:rsidRPr="00556091">
        <w:t>168</w:t>
      </w:r>
      <w:r w:rsidR="006B0DA3" w:rsidRPr="00556091">
        <w:t xml:space="preserve"> mężczyzn oraz </w:t>
      </w:r>
      <w:r w:rsidR="00556091" w:rsidRPr="00556091">
        <w:t>129</w:t>
      </w:r>
      <w:r w:rsidR="006B0DA3" w:rsidRPr="00556091">
        <w:t xml:space="preserve"> dzieci. </w:t>
      </w:r>
      <w:r w:rsidR="00556091" w:rsidRPr="00556091">
        <w:t>W porównaniu do 2018 roku liczba utworzonych grup roboczych spadła o 48, liczba osób objętych ich pomocą zmniejs</w:t>
      </w:r>
      <w:r w:rsidR="00634E71">
        <w:t xml:space="preserve">zyła się o 58, a liczba rodzin </w:t>
      </w:r>
      <w:r w:rsidR="00556091" w:rsidRPr="00556091">
        <w:t>o 17.</w:t>
      </w:r>
    </w:p>
    <w:p w:rsidR="00825332" w:rsidRPr="00C86258" w:rsidRDefault="00365E5A" w:rsidP="00825332">
      <w:pPr>
        <w:pStyle w:val="Legenda"/>
        <w:jc w:val="center"/>
        <w:rPr>
          <w:rStyle w:val="Odwoaniedelikatne"/>
          <w:b/>
          <w:bCs/>
          <w:i w:val="0"/>
          <w:iCs w:val="0"/>
          <w:smallCaps w:val="0"/>
          <w:spacing w:val="5"/>
        </w:rPr>
      </w:pPr>
      <w:r w:rsidRPr="00C86258">
        <w:rPr>
          <w:rStyle w:val="Tytuksiki"/>
          <w:i w:val="0"/>
        </w:rPr>
        <w:t xml:space="preserve">Tabela </w:t>
      </w:r>
      <w:r w:rsidR="00FA2F7E" w:rsidRPr="00C86258">
        <w:rPr>
          <w:rStyle w:val="Tytuksiki"/>
          <w:i w:val="0"/>
        </w:rPr>
        <w:fldChar w:fldCharType="begin"/>
      </w:r>
      <w:r w:rsidRPr="00C86258">
        <w:rPr>
          <w:rStyle w:val="Tytuksiki"/>
          <w:i w:val="0"/>
        </w:rPr>
        <w:instrText xml:space="preserve"> SEQ Tabela \* ARABIC </w:instrText>
      </w:r>
      <w:r w:rsidR="00FA2F7E" w:rsidRPr="00C86258">
        <w:rPr>
          <w:rStyle w:val="Tytuksiki"/>
          <w:i w:val="0"/>
        </w:rPr>
        <w:fldChar w:fldCharType="separate"/>
      </w:r>
      <w:r w:rsidR="003A0BF1">
        <w:rPr>
          <w:rStyle w:val="Tytuksiki"/>
          <w:i w:val="0"/>
          <w:noProof/>
        </w:rPr>
        <w:t>4</w:t>
      </w:r>
      <w:r w:rsidR="00FA2F7E" w:rsidRPr="00C86258">
        <w:rPr>
          <w:rStyle w:val="Tytuksiki"/>
          <w:i w:val="0"/>
        </w:rPr>
        <w:fldChar w:fldCharType="end"/>
      </w:r>
      <w:r w:rsidRPr="00C86258">
        <w:rPr>
          <w:rStyle w:val="Tytuksiki"/>
          <w:i w:val="0"/>
        </w:rPr>
        <w:t>. Wybrane dane dotyczące funkcjonowania Zespoł</w:t>
      </w:r>
      <w:r w:rsidR="00825332" w:rsidRPr="00C86258">
        <w:rPr>
          <w:rStyle w:val="Tytuksiki"/>
          <w:i w:val="0"/>
        </w:rPr>
        <w:t>ów</w:t>
      </w:r>
      <w:r w:rsidRPr="00C86258">
        <w:rPr>
          <w:rStyle w:val="Tytuksiki"/>
          <w:i w:val="0"/>
        </w:rPr>
        <w:t xml:space="preserve"> Interdyscyplinarn</w:t>
      </w:r>
      <w:r w:rsidR="00825332" w:rsidRPr="00C86258">
        <w:rPr>
          <w:rStyle w:val="Tytuksiki"/>
          <w:i w:val="0"/>
        </w:rPr>
        <w:t>ych</w:t>
      </w:r>
      <w:r w:rsidRPr="00C86258">
        <w:rPr>
          <w:rStyle w:val="Tytuksiki"/>
          <w:i w:val="0"/>
        </w:rPr>
        <w:t xml:space="preserve"> w </w:t>
      </w:r>
      <w:r w:rsidR="00825332" w:rsidRPr="00C86258">
        <w:rPr>
          <w:rStyle w:val="Tytuksiki"/>
          <w:i w:val="0"/>
        </w:rPr>
        <w:t xml:space="preserve">powiecie lidzbarskim w </w:t>
      </w:r>
      <w:r w:rsidR="00C86258" w:rsidRPr="00C86258">
        <w:rPr>
          <w:rStyle w:val="Tytuksiki"/>
          <w:i w:val="0"/>
        </w:rPr>
        <w:t>latach 2018-2020</w:t>
      </w:r>
    </w:p>
    <w:tbl>
      <w:tblPr>
        <w:tblStyle w:val="Siatkatabelijasna1"/>
        <w:tblW w:w="8579" w:type="dxa"/>
        <w:jc w:val="center"/>
        <w:tblLook w:val="04A0"/>
      </w:tblPr>
      <w:tblGrid>
        <w:gridCol w:w="5046"/>
        <w:gridCol w:w="1209"/>
        <w:gridCol w:w="1162"/>
        <w:gridCol w:w="1162"/>
      </w:tblGrid>
      <w:tr w:rsidR="00C86258" w:rsidRPr="00C86258" w:rsidTr="00CC4644">
        <w:trPr>
          <w:trHeight w:val="626"/>
          <w:jc w:val="center"/>
        </w:trPr>
        <w:tc>
          <w:tcPr>
            <w:tcW w:w="5046" w:type="dxa"/>
            <w:shd w:val="clear" w:color="auto" w:fill="D9E2F3" w:themeFill="accent1" w:themeFillTint="33"/>
            <w:vAlign w:val="center"/>
            <w:hideMark/>
          </w:tcPr>
          <w:p w:rsidR="00C86258" w:rsidRPr="00C86258" w:rsidRDefault="00C86258" w:rsidP="00886427">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Wyszczególnienie</w:t>
            </w:r>
          </w:p>
        </w:tc>
        <w:tc>
          <w:tcPr>
            <w:tcW w:w="1209" w:type="dxa"/>
            <w:shd w:val="clear" w:color="auto" w:fill="D9E2F3" w:themeFill="accent1" w:themeFillTint="33"/>
            <w:noWrap/>
            <w:vAlign w:val="center"/>
            <w:hideMark/>
          </w:tcPr>
          <w:p w:rsidR="00C86258" w:rsidRPr="00C86258" w:rsidRDefault="00C86258" w:rsidP="00886427">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2018</w:t>
            </w:r>
          </w:p>
        </w:tc>
        <w:tc>
          <w:tcPr>
            <w:tcW w:w="1162" w:type="dxa"/>
            <w:shd w:val="clear" w:color="auto" w:fill="D9E2F3" w:themeFill="accent1" w:themeFillTint="33"/>
            <w:vAlign w:val="center"/>
          </w:tcPr>
          <w:p w:rsidR="00C86258" w:rsidRPr="00C86258" w:rsidRDefault="00C86258" w:rsidP="00886427">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2019</w:t>
            </w:r>
          </w:p>
        </w:tc>
        <w:tc>
          <w:tcPr>
            <w:tcW w:w="1162" w:type="dxa"/>
            <w:shd w:val="clear" w:color="auto" w:fill="D9E2F3" w:themeFill="accent1" w:themeFillTint="33"/>
            <w:vAlign w:val="center"/>
          </w:tcPr>
          <w:p w:rsidR="00C86258" w:rsidRPr="00C86258" w:rsidRDefault="00C86258" w:rsidP="00886427">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2020</w:t>
            </w:r>
          </w:p>
        </w:tc>
      </w:tr>
      <w:tr w:rsidR="00556091" w:rsidRPr="00C86258" w:rsidTr="00CC4644">
        <w:trPr>
          <w:trHeight w:val="367"/>
          <w:jc w:val="center"/>
        </w:trPr>
        <w:tc>
          <w:tcPr>
            <w:tcW w:w="5046" w:type="dxa"/>
            <w:vAlign w:val="center"/>
            <w:hideMark/>
          </w:tcPr>
          <w:p w:rsidR="00556091" w:rsidRPr="00C86258" w:rsidRDefault="00556091" w:rsidP="00556091">
            <w:pPr>
              <w:spacing w:after="0"/>
              <w:jc w:val="left"/>
              <w:rPr>
                <w:rFonts w:eastAsia="Times New Roman"/>
                <w:bCs/>
                <w:color w:val="000000"/>
                <w:sz w:val="20"/>
                <w:szCs w:val="20"/>
                <w:lang w:eastAsia="pl-PL"/>
              </w:rPr>
            </w:pPr>
            <w:r w:rsidRPr="00C86258">
              <w:rPr>
                <w:rFonts w:eastAsia="Times New Roman"/>
                <w:bCs/>
                <w:color w:val="000000"/>
                <w:sz w:val="20"/>
                <w:szCs w:val="20"/>
                <w:lang w:eastAsia="pl-PL"/>
              </w:rPr>
              <w:t>Liczba utworzonych grup roboczych</w:t>
            </w:r>
          </w:p>
        </w:tc>
        <w:tc>
          <w:tcPr>
            <w:tcW w:w="1209" w:type="dxa"/>
            <w:noWrap/>
          </w:tcPr>
          <w:p w:rsidR="00556091" w:rsidRPr="00556091" w:rsidRDefault="00556091" w:rsidP="00556091">
            <w:pPr>
              <w:spacing w:after="0"/>
              <w:jc w:val="center"/>
              <w:rPr>
                <w:rFonts w:eastAsia="Times New Roman"/>
                <w:color w:val="000000"/>
                <w:szCs w:val="20"/>
                <w:lang w:eastAsia="pl-PL"/>
              </w:rPr>
            </w:pPr>
            <w:r w:rsidRPr="00556091">
              <w:rPr>
                <w:szCs w:val="20"/>
              </w:rPr>
              <w:t>155</w:t>
            </w:r>
          </w:p>
        </w:tc>
        <w:tc>
          <w:tcPr>
            <w:tcW w:w="1162" w:type="dxa"/>
          </w:tcPr>
          <w:p w:rsidR="00556091" w:rsidRPr="00556091" w:rsidRDefault="00556091" w:rsidP="00556091">
            <w:pPr>
              <w:spacing w:after="0"/>
              <w:jc w:val="center"/>
              <w:rPr>
                <w:rFonts w:eastAsia="Times New Roman"/>
                <w:color w:val="000000"/>
                <w:szCs w:val="20"/>
                <w:lang w:eastAsia="pl-PL"/>
              </w:rPr>
            </w:pPr>
            <w:r w:rsidRPr="00556091">
              <w:rPr>
                <w:szCs w:val="20"/>
              </w:rPr>
              <w:t>113</w:t>
            </w:r>
          </w:p>
        </w:tc>
        <w:tc>
          <w:tcPr>
            <w:tcW w:w="1162" w:type="dxa"/>
          </w:tcPr>
          <w:p w:rsidR="00556091" w:rsidRPr="00556091" w:rsidRDefault="00556091" w:rsidP="00556091">
            <w:pPr>
              <w:spacing w:after="0"/>
              <w:jc w:val="center"/>
              <w:rPr>
                <w:rFonts w:eastAsia="Times New Roman"/>
                <w:color w:val="000000"/>
                <w:szCs w:val="20"/>
                <w:lang w:eastAsia="pl-PL"/>
              </w:rPr>
            </w:pPr>
            <w:r w:rsidRPr="00556091">
              <w:rPr>
                <w:szCs w:val="20"/>
              </w:rPr>
              <w:t>107</w:t>
            </w:r>
          </w:p>
        </w:tc>
      </w:tr>
      <w:tr w:rsidR="00556091" w:rsidRPr="00C86258" w:rsidTr="00CC4644">
        <w:trPr>
          <w:trHeight w:val="367"/>
          <w:jc w:val="center"/>
        </w:trPr>
        <w:tc>
          <w:tcPr>
            <w:tcW w:w="5046" w:type="dxa"/>
            <w:vAlign w:val="center"/>
            <w:hideMark/>
          </w:tcPr>
          <w:p w:rsidR="00556091" w:rsidRPr="00C86258" w:rsidRDefault="00556091" w:rsidP="00556091">
            <w:pPr>
              <w:spacing w:after="0"/>
              <w:jc w:val="left"/>
              <w:rPr>
                <w:rFonts w:eastAsia="Times New Roman"/>
                <w:bCs/>
                <w:color w:val="000000"/>
                <w:sz w:val="20"/>
                <w:szCs w:val="20"/>
                <w:lang w:eastAsia="pl-PL"/>
              </w:rPr>
            </w:pPr>
            <w:r w:rsidRPr="00C86258">
              <w:rPr>
                <w:rFonts w:eastAsia="Times New Roman"/>
                <w:bCs/>
                <w:color w:val="000000"/>
                <w:sz w:val="20"/>
                <w:szCs w:val="20"/>
                <w:lang w:eastAsia="pl-PL"/>
              </w:rPr>
              <w:t>Liczba osób objętych pomocą grup roboczych</w:t>
            </w:r>
          </w:p>
        </w:tc>
        <w:tc>
          <w:tcPr>
            <w:tcW w:w="1209" w:type="dxa"/>
            <w:noWrap/>
          </w:tcPr>
          <w:p w:rsidR="00556091" w:rsidRPr="00556091" w:rsidRDefault="00556091" w:rsidP="00556091">
            <w:pPr>
              <w:spacing w:after="0"/>
              <w:jc w:val="center"/>
              <w:rPr>
                <w:rFonts w:eastAsia="Times New Roman"/>
                <w:color w:val="000000"/>
                <w:szCs w:val="20"/>
                <w:lang w:eastAsia="pl-PL"/>
              </w:rPr>
            </w:pPr>
            <w:r w:rsidRPr="00556091">
              <w:rPr>
                <w:szCs w:val="20"/>
              </w:rPr>
              <w:t>516</w:t>
            </w:r>
          </w:p>
        </w:tc>
        <w:tc>
          <w:tcPr>
            <w:tcW w:w="1162" w:type="dxa"/>
          </w:tcPr>
          <w:p w:rsidR="00556091" w:rsidRPr="00556091" w:rsidRDefault="00556091" w:rsidP="00556091">
            <w:pPr>
              <w:spacing w:after="0"/>
              <w:jc w:val="center"/>
              <w:rPr>
                <w:rFonts w:eastAsia="Times New Roman"/>
                <w:color w:val="000000"/>
                <w:szCs w:val="20"/>
                <w:lang w:eastAsia="pl-PL"/>
              </w:rPr>
            </w:pPr>
            <w:r w:rsidRPr="00556091">
              <w:rPr>
                <w:szCs w:val="20"/>
              </w:rPr>
              <w:t>415</w:t>
            </w:r>
          </w:p>
        </w:tc>
        <w:tc>
          <w:tcPr>
            <w:tcW w:w="1162" w:type="dxa"/>
          </w:tcPr>
          <w:p w:rsidR="00556091" w:rsidRPr="00556091" w:rsidRDefault="00556091" w:rsidP="00556091">
            <w:pPr>
              <w:spacing w:after="0"/>
              <w:jc w:val="center"/>
              <w:rPr>
                <w:rFonts w:eastAsia="Times New Roman"/>
                <w:color w:val="000000"/>
                <w:szCs w:val="20"/>
                <w:lang w:eastAsia="pl-PL"/>
              </w:rPr>
            </w:pPr>
            <w:r w:rsidRPr="00556091">
              <w:rPr>
                <w:szCs w:val="20"/>
              </w:rPr>
              <w:t>458</w:t>
            </w:r>
          </w:p>
        </w:tc>
      </w:tr>
      <w:tr w:rsidR="00556091" w:rsidRPr="00C86258" w:rsidTr="00CC4644">
        <w:trPr>
          <w:trHeight w:val="367"/>
          <w:jc w:val="center"/>
        </w:trPr>
        <w:tc>
          <w:tcPr>
            <w:tcW w:w="5046" w:type="dxa"/>
            <w:vAlign w:val="center"/>
            <w:hideMark/>
          </w:tcPr>
          <w:p w:rsidR="00556091" w:rsidRPr="00C86258" w:rsidRDefault="00556091" w:rsidP="00556091">
            <w:pPr>
              <w:spacing w:after="0"/>
              <w:jc w:val="left"/>
              <w:rPr>
                <w:rFonts w:eastAsia="Times New Roman"/>
                <w:bCs/>
                <w:color w:val="000000"/>
                <w:sz w:val="20"/>
                <w:szCs w:val="20"/>
                <w:lang w:eastAsia="pl-PL"/>
              </w:rPr>
            </w:pPr>
            <w:r w:rsidRPr="00C86258">
              <w:rPr>
                <w:rFonts w:eastAsia="Times New Roman"/>
                <w:bCs/>
                <w:color w:val="000000"/>
                <w:sz w:val="20"/>
                <w:szCs w:val="20"/>
                <w:lang w:eastAsia="pl-PL"/>
              </w:rPr>
              <w:t xml:space="preserve"> - kobiety</w:t>
            </w:r>
          </w:p>
        </w:tc>
        <w:tc>
          <w:tcPr>
            <w:tcW w:w="1209" w:type="dxa"/>
            <w:noWrap/>
          </w:tcPr>
          <w:p w:rsidR="00556091" w:rsidRPr="00556091" w:rsidRDefault="00556091" w:rsidP="00556091">
            <w:pPr>
              <w:spacing w:after="0"/>
              <w:jc w:val="center"/>
              <w:rPr>
                <w:rFonts w:eastAsia="Times New Roman"/>
                <w:color w:val="000000"/>
                <w:szCs w:val="20"/>
                <w:lang w:eastAsia="pl-PL"/>
              </w:rPr>
            </w:pPr>
            <w:r w:rsidRPr="00556091">
              <w:rPr>
                <w:szCs w:val="20"/>
              </w:rPr>
              <w:t>183</w:t>
            </w:r>
          </w:p>
        </w:tc>
        <w:tc>
          <w:tcPr>
            <w:tcW w:w="1162" w:type="dxa"/>
          </w:tcPr>
          <w:p w:rsidR="00556091" w:rsidRPr="00556091" w:rsidRDefault="00556091" w:rsidP="00556091">
            <w:pPr>
              <w:spacing w:after="0"/>
              <w:jc w:val="center"/>
              <w:rPr>
                <w:rFonts w:eastAsia="Times New Roman"/>
                <w:color w:val="000000"/>
                <w:szCs w:val="20"/>
                <w:lang w:eastAsia="pl-PL"/>
              </w:rPr>
            </w:pPr>
            <w:r w:rsidRPr="00556091">
              <w:rPr>
                <w:szCs w:val="20"/>
              </w:rPr>
              <w:t>141</w:t>
            </w:r>
          </w:p>
        </w:tc>
        <w:tc>
          <w:tcPr>
            <w:tcW w:w="1162" w:type="dxa"/>
          </w:tcPr>
          <w:p w:rsidR="00556091" w:rsidRPr="00556091" w:rsidRDefault="00556091" w:rsidP="00556091">
            <w:pPr>
              <w:spacing w:after="0"/>
              <w:jc w:val="center"/>
              <w:rPr>
                <w:rFonts w:eastAsia="Times New Roman"/>
                <w:color w:val="000000"/>
                <w:szCs w:val="20"/>
                <w:lang w:eastAsia="pl-PL"/>
              </w:rPr>
            </w:pPr>
            <w:r w:rsidRPr="00556091">
              <w:rPr>
                <w:szCs w:val="20"/>
              </w:rPr>
              <w:t>161</w:t>
            </w:r>
          </w:p>
        </w:tc>
      </w:tr>
      <w:tr w:rsidR="00556091" w:rsidRPr="00C86258" w:rsidTr="00CC4644">
        <w:trPr>
          <w:trHeight w:val="367"/>
          <w:jc w:val="center"/>
        </w:trPr>
        <w:tc>
          <w:tcPr>
            <w:tcW w:w="5046" w:type="dxa"/>
            <w:vAlign w:val="center"/>
            <w:hideMark/>
          </w:tcPr>
          <w:p w:rsidR="00556091" w:rsidRPr="00C86258" w:rsidRDefault="00556091" w:rsidP="00556091">
            <w:pPr>
              <w:spacing w:after="0"/>
              <w:jc w:val="left"/>
              <w:rPr>
                <w:rFonts w:eastAsia="Times New Roman"/>
                <w:bCs/>
                <w:color w:val="000000"/>
                <w:sz w:val="20"/>
                <w:szCs w:val="20"/>
                <w:lang w:eastAsia="pl-PL"/>
              </w:rPr>
            </w:pPr>
            <w:r w:rsidRPr="00C86258">
              <w:rPr>
                <w:rFonts w:eastAsia="Times New Roman"/>
                <w:bCs/>
                <w:color w:val="000000"/>
                <w:sz w:val="20"/>
                <w:szCs w:val="20"/>
                <w:lang w:eastAsia="pl-PL"/>
              </w:rPr>
              <w:t xml:space="preserve"> - mężczyźni</w:t>
            </w:r>
          </w:p>
        </w:tc>
        <w:tc>
          <w:tcPr>
            <w:tcW w:w="1209" w:type="dxa"/>
            <w:noWrap/>
          </w:tcPr>
          <w:p w:rsidR="00556091" w:rsidRPr="00556091" w:rsidRDefault="00556091" w:rsidP="00556091">
            <w:pPr>
              <w:spacing w:after="0"/>
              <w:jc w:val="center"/>
              <w:rPr>
                <w:rFonts w:eastAsia="Times New Roman"/>
                <w:color w:val="000000"/>
                <w:szCs w:val="20"/>
                <w:lang w:eastAsia="pl-PL"/>
              </w:rPr>
            </w:pPr>
            <w:r w:rsidRPr="00556091">
              <w:rPr>
                <w:szCs w:val="20"/>
              </w:rPr>
              <w:t>188</w:t>
            </w:r>
          </w:p>
        </w:tc>
        <w:tc>
          <w:tcPr>
            <w:tcW w:w="1162" w:type="dxa"/>
          </w:tcPr>
          <w:p w:rsidR="00556091" w:rsidRPr="00556091" w:rsidRDefault="00556091" w:rsidP="00556091">
            <w:pPr>
              <w:spacing w:after="0"/>
              <w:jc w:val="center"/>
              <w:rPr>
                <w:rFonts w:eastAsia="Times New Roman"/>
                <w:color w:val="000000"/>
                <w:szCs w:val="20"/>
                <w:lang w:eastAsia="pl-PL"/>
              </w:rPr>
            </w:pPr>
            <w:r w:rsidRPr="00556091">
              <w:rPr>
                <w:szCs w:val="20"/>
              </w:rPr>
              <w:t>155</w:t>
            </w:r>
          </w:p>
        </w:tc>
        <w:tc>
          <w:tcPr>
            <w:tcW w:w="1162" w:type="dxa"/>
          </w:tcPr>
          <w:p w:rsidR="00556091" w:rsidRPr="00556091" w:rsidRDefault="00556091" w:rsidP="00556091">
            <w:pPr>
              <w:spacing w:after="0"/>
              <w:jc w:val="center"/>
              <w:rPr>
                <w:rFonts w:eastAsia="Times New Roman"/>
                <w:color w:val="000000"/>
                <w:szCs w:val="20"/>
                <w:lang w:eastAsia="pl-PL"/>
              </w:rPr>
            </w:pPr>
            <w:r w:rsidRPr="00556091">
              <w:rPr>
                <w:szCs w:val="20"/>
              </w:rPr>
              <w:t>168</w:t>
            </w:r>
          </w:p>
        </w:tc>
      </w:tr>
      <w:tr w:rsidR="00556091" w:rsidRPr="00C86258" w:rsidTr="00CC4644">
        <w:trPr>
          <w:trHeight w:val="367"/>
          <w:jc w:val="center"/>
        </w:trPr>
        <w:tc>
          <w:tcPr>
            <w:tcW w:w="5046" w:type="dxa"/>
            <w:vAlign w:val="center"/>
            <w:hideMark/>
          </w:tcPr>
          <w:p w:rsidR="00556091" w:rsidRPr="00C86258" w:rsidRDefault="00556091" w:rsidP="00556091">
            <w:pPr>
              <w:spacing w:after="0"/>
              <w:jc w:val="left"/>
              <w:rPr>
                <w:rFonts w:eastAsia="Times New Roman"/>
                <w:bCs/>
                <w:color w:val="000000"/>
                <w:sz w:val="20"/>
                <w:szCs w:val="20"/>
                <w:lang w:eastAsia="pl-PL"/>
              </w:rPr>
            </w:pPr>
            <w:r w:rsidRPr="00C86258">
              <w:rPr>
                <w:rFonts w:eastAsia="Times New Roman"/>
                <w:bCs/>
                <w:color w:val="000000"/>
                <w:sz w:val="20"/>
                <w:szCs w:val="20"/>
                <w:lang w:eastAsia="pl-PL"/>
              </w:rPr>
              <w:t xml:space="preserve"> - dzieci</w:t>
            </w:r>
          </w:p>
        </w:tc>
        <w:tc>
          <w:tcPr>
            <w:tcW w:w="1209" w:type="dxa"/>
            <w:noWrap/>
          </w:tcPr>
          <w:p w:rsidR="00556091" w:rsidRPr="00556091" w:rsidRDefault="00556091" w:rsidP="00556091">
            <w:pPr>
              <w:spacing w:after="0"/>
              <w:jc w:val="center"/>
              <w:rPr>
                <w:rFonts w:eastAsia="Times New Roman"/>
                <w:color w:val="000000"/>
                <w:szCs w:val="20"/>
                <w:lang w:eastAsia="pl-PL"/>
              </w:rPr>
            </w:pPr>
            <w:r w:rsidRPr="00556091">
              <w:rPr>
                <w:szCs w:val="20"/>
              </w:rPr>
              <w:t>145</w:t>
            </w:r>
          </w:p>
        </w:tc>
        <w:tc>
          <w:tcPr>
            <w:tcW w:w="1162" w:type="dxa"/>
          </w:tcPr>
          <w:p w:rsidR="00556091" w:rsidRPr="00556091" w:rsidRDefault="00556091" w:rsidP="00556091">
            <w:pPr>
              <w:spacing w:after="0"/>
              <w:jc w:val="center"/>
              <w:rPr>
                <w:rFonts w:eastAsia="Times New Roman"/>
                <w:color w:val="000000"/>
                <w:szCs w:val="20"/>
                <w:lang w:eastAsia="pl-PL"/>
              </w:rPr>
            </w:pPr>
            <w:r w:rsidRPr="00556091">
              <w:rPr>
                <w:szCs w:val="20"/>
              </w:rPr>
              <w:t>119</w:t>
            </w:r>
          </w:p>
        </w:tc>
        <w:tc>
          <w:tcPr>
            <w:tcW w:w="1162" w:type="dxa"/>
          </w:tcPr>
          <w:p w:rsidR="00556091" w:rsidRPr="00556091" w:rsidRDefault="00556091" w:rsidP="00556091">
            <w:pPr>
              <w:spacing w:after="0"/>
              <w:jc w:val="center"/>
              <w:rPr>
                <w:rFonts w:eastAsia="Times New Roman"/>
                <w:color w:val="000000"/>
                <w:szCs w:val="20"/>
                <w:lang w:eastAsia="pl-PL"/>
              </w:rPr>
            </w:pPr>
            <w:r w:rsidRPr="00556091">
              <w:rPr>
                <w:szCs w:val="20"/>
              </w:rPr>
              <w:t>129</w:t>
            </w:r>
          </w:p>
        </w:tc>
      </w:tr>
      <w:tr w:rsidR="00556091" w:rsidRPr="00C86258" w:rsidTr="00CC4644">
        <w:trPr>
          <w:trHeight w:val="367"/>
          <w:jc w:val="center"/>
        </w:trPr>
        <w:tc>
          <w:tcPr>
            <w:tcW w:w="5046" w:type="dxa"/>
            <w:vAlign w:val="center"/>
            <w:hideMark/>
          </w:tcPr>
          <w:p w:rsidR="00556091" w:rsidRPr="00C86258" w:rsidRDefault="00556091" w:rsidP="00556091">
            <w:pPr>
              <w:spacing w:after="0"/>
              <w:jc w:val="left"/>
              <w:rPr>
                <w:rFonts w:eastAsia="Times New Roman"/>
                <w:bCs/>
                <w:color w:val="000000"/>
                <w:sz w:val="20"/>
                <w:szCs w:val="20"/>
                <w:lang w:eastAsia="pl-PL"/>
              </w:rPr>
            </w:pPr>
            <w:r w:rsidRPr="00C86258">
              <w:rPr>
                <w:rFonts w:eastAsia="Times New Roman"/>
                <w:bCs/>
                <w:color w:val="000000"/>
                <w:sz w:val="20"/>
                <w:szCs w:val="20"/>
                <w:lang w:eastAsia="pl-PL"/>
              </w:rPr>
              <w:t>Liczba rodzin objętych pomocą grup roboczych</w:t>
            </w:r>
          </w:p>
        </w:tc>
        <w:tc>
          <w:tcPr>
            <w:tcW w:w="1209" w:type="dxa"/>
            <w:noWrap/>
          </w:tcPr>
          <w:p w:rsidR="00556091" w:rsidRPr="00556091" w:rsidRDefault="00556091" w:rsidP="00556091">
            <w:pPr>
              <w:spacing w:after="0"/>
              <w:jc w:val="center"/>
              <w:rPr>
                <w:rFonts w:eastAsia="Times New Roman"/>
                <w:color w:val="000000"/>
                <w:szCs w:val="20"/>
                <w:lang w:eastAsia="pl-PL"/>
              </w:rPr>
            </w:pPr>
            <w:r w:rsidRPr="00556091">
              <w:rPr>
                <w:szCs w:val="20"/>
              </w:rPr>
              <w:t>172</w:t>
            </w:r>
          </w:p>
        </w:tc>
        <w:tc>
          <w:tcPr>
            <w:tcW w:w="1162" w:type="dxa"/>
          </w:tcPr>
          <w:p w:rsidR="00556091" w:rsidRPr="00556091" w:rsidRDefault="00556091" w:rsidP="00556091">
            <w:pPr>
              <w:spacing w:after="0"/>
              <w:jc w:val="center"/>
              <w:rPr>
                <w:rFonts w:eastAsia="Times New Roman"/>
                <w:color w:val="000000"/>
                <w:szCs w:val="20"/>
                <w:lang w:eastAsia="pl-PL"/>
              </w:rPr>
            </w:pPr>
            <w:r w:rsidRPr="00556091">
              <w:rPr>
                <w:szCs w:val="20"/>
              </w:rPr>
              <w:t>139</w:t>
            </w:r>
          </w:p>
        </w:tc>
        <w:tc>
          <w:tcPr>
            <w:tcW w:w="1162" w:type="dxa"/>
          </w:tcPr>
          <w:p w:rsidR="00556091" w:rsidRPr="00556091" w:rsidRDefault="00556091" w:rsidP="00556091">
            <w:pPr>
              <w:spacing w:after="0"/>
              <w:jc w:val="center"/>
              <w:rPr>
                <w:rFonts w:eastAsia="Times New Roman"/>
                <w:color w:val="000000"/>
                <w:szCs w:val="20"/>
                <w:lang w:eastAsia="pl-PL"/>
              </w:rPr>
            </w:pPr>
            <w:r w:rsidRPr="00556091">
              <w:rPr>
                <w:szCs w:val="20"/>
              </w:rPr>
              <w:t>155</w:t>
            </w:r>
          </w:p>
        </w:tc>
      </w:tr>
    </w:tbl>
    <w:p w:rsidR="00774626" w:rsidRPr="00556091" w:rsidRDefault="00774626" w:rsidP="00774626">
      <w:pPr>
        <w:pStyle w:val="Legenda"/>
        <w:spacing w:after="120"/>
        <w:rPr>
          <w:rStyle w:val="Odwoaniedelikatne"/>
          <w:i w:val="0"/>
        </w:rPr>
      </w:pPr>
      <w:r w:rsidRPr="00556091">
        <w:rPr>
          <w:rStyle w:val="Odwoaniedelikatne"/>
          <w:i w:val="0"/>
        </w:rPr>
        <w:t>Źródło: opracowanie własne na podstawie danych gmin powiatu lidzbarskiego.</w:t>
      </w:r>
    </w:p>
    <w:p w:rsidR="00C86258" w:rsidRPr="00556091" w:rsidRDefault="00774626" w:rsidP="00C86258">
      <w:r w:rsidRPr="00556091">
        <w:t xml:space="preserve">Warto również nadmienić, że osoby dotknięte przemocą w rodzinie mogą skorzystać </w:t>
      </w:r>
      <w:r w:rsidR="00F830F6">
        <w:br/>
      </w:r>
      <w:r w:rsidRPr="00556091">
        <w:t>z p</w:t>
      </w:r>
      <w:r w:rsidR="00F431F6" w:rsidRPr="00556091">
        <w:t>oradnictw</w:t>
      </w:r>
      <w:r w:rsidRPr="00556091">
        <w:t xml:space="preserve">a </w:t>
      </w:r>
      <w:r w:rsidR="00F431F6" w:rsidRPr="00556091">
        <w:t>specjalistyczne</w:t>
      </w:r>
      <w:r w:rsidRPr="00556091">
        <w:t>go</w:t>
      </w:r>
      <w:r w:rsidR="00F431F6" w:rsidRPr="00556091">
        <w:t xml:space="preserve"> prowadzon</w:t>
      </w:r>
      <w:r w:rsidRPr="00556091">
        <w:t>ego</w:t>
      </w:r>
      <w:r w:rsidR="006C5EED">
        <w:t xml:space="preserve"> </w:t>
      </w:r>
      <w:r w:rsidR="00C86258" w:rsidRPr="00556091">
        <w:t>przez gminy oraz przy</w:t>
      </w:r>
      <w:r w:rsidR="00F431F6" w:rsidRPr="00556091">
        <w:t xml:space="preserve"> PCPR</w:t>
      </w:r>
      <w:r w:rsidR="00C86258" w:rsidRPr="00556091">
        <w:t xml:space="preserve">. W 2020 roku </w:t>
      </w:r>
      <w:r w:rsidR="00F830F6">
        <w:br/>
      </w:r>
      <w:r w:rsidR="00C86258" w:rsidRPr="00556091">
        <w:t xml:space="preserve">z pomocy w formie poradnictwa w gminach skorzystało </w:t>
      </w:r>
      <w:r w:rsidR="00556091" w:rsidRPr="00556091">
        <w:t xml:space="preserve">271 </w:t>
      </w:r>
      <w:r w:rsidR="00C86258" w:rsidRPr="00556091">
        <w:t>osób, w tym</w:t>
      </w:r>
      <w:r w:rsidR="00556091" w:rsidRPr="00556091">
        <w:t xml:space="preserve"> 212 </w:t>
      </w:r>
      <w:r w:rsidR="00C86258" w:rsidRPr="00556091">
        <w:t xml:space="preserve">z poradnictwa </w:t>
      </w:r>
      <w:r w:rsidR="00556091" w:rsidRPr="00556091">
        <w:t xml:space="preserve">socjalnego, 109 z poradnictwa psychologicznego, 79 z poradnictwa zawodowego </w:t>
      </w:r>
      <w:r w:rsidR="006C5EED">
        <w:t xml:space="preserve">                                      </w:t>
      </w:r>
      <w:r w:rsidR="00556091" w:rsidRPr="00556091">
        <w:t xml:space="preserve">i rodzinnego, 42 z poradnictwa prawnego oraz 6 osób z poradnictwa medycznego. </w:t>
      </w:r>
      <w:r w:rsidR="006C5EED">
        <w:t xml:space="preserve">                             </w:t>
      </w:r>
      <w:r w:rsidR="00556091" w:rsidRPr="00556091">
        <w:t>W porównaniu do 2018 roku liczba otrzymujących tego typu wsparcie zwiększyła się o 8.</w:t>
      </w:r>
    </w:p>
    <w:p w:rsidR="00C86258" w:rsidRPr="00C86258" w:rsidRDefault="00C86258" w:rsidP="00C86258">
      <w:pPr>
        <w:pStyle w:val="Legenda"/>
        <w:jc w:val="center"/>
        <w:rPr>
          <w:rStyle w:val="Odwoaniedelikatne"/>
          <w:b/>
          <w:bCs/>
          <w:i w:val="0"/>
          <w:iCs w:val="0"/>
          <w:smallCaps w:val="0"/>
          <w:spacing w:val="5"/>
        </w:rPr>
      </w:pPr>
      <w:r w:rsidRPr="00C86258">
        <w:rPr>
          <w:rStyle w:val="Tytuksiki"/>
          <w:i w:val="0"/>
        </w:rPr>
        <w:t xml:space="preserve">Tabela </w:t>
      </w:r>
      <w:r w:rsidR="00FA2F7E" w:rsidRPr="00C86258">
        <w:rPr>
          <w:rStyle w:val="Tytuksiki"/>
          <w:i w:val="0"/>
        </w:rPr>
        <w:fldChar w:fldCharType="begin"/>
      </w:r>
      <w:r w:rsidRPr="00C86258">
        <w:rPr>
          <w:rStyle w:val="Tytuksiki"/>
          <w:i w:val="0"/>
        </w:rPr>
        <w:instrText xml:space="preserve"> SEQ Tabela \* ARABIC </w:instrText>
      </w:r>
      <w:r w:rsidR="00FA2F7E" w:rsidRPr="00C86258">
        <w:rPr>
          <w:rStyle w:val="Tytuksiki"/>
          <w:i w:val="0"/>
        </w:rPr>
        <w:fldChar w:fldCharType="separate"/>
      </w:r>
      <w:r w:rsidR="003A0BF1">
        <w:rPr>
          <w:rStyle w:val="Tytuksiki"/>
          <w:i w:val="0"/>
          <w:noProof/>
        </w:rPr>
        <w:t>5</w:t>
      </w:r>
      <w:r w:rsidR="00FA2F7E" w:rsidRPr="00C86258">
        <w:rPr>
          <w:rStyle w:val="Tytuksiki"/>
          <w:i w:val="0"/>
        </w:rPr>
        <w:fldChar w:fldCharType="end"/>
      </w:r>
      <w:r w:rsidRPr="00C86258">
        <w:rPr>
          <w:rStyle w:val="Tytuksiki"/>
          <w:i w:val="0"/>
        </w:rPr>
        <w:t xml:space="preserve">. </w:t>
      </w:r>
      <w:r>
        <w:rPr>
          <w:rStyle w:val="Tytuksiki"/>
          <w:i w:val="0"/>
        </w:rPr>
        <w:t xml:space="preserve">Osoby dotknięte przemocą korzystające z poradnictwa w gminach powiatu lidzbarskiego </w:t>
      </w:r>
      <w:r>
        <w:rPr>
          <w:rStyle w:val="Tytuksiki"/>
          <w:i w:val="0"/>
        </w:rPr>
        <w:br/>
      </w:r>
      <w:r w:rsidRPr="00C86258">
        <w:rPr>
          <w:rStyle w:val="Tytuksiki"/>
          <w:i w:val="0"/>
        </w:rPr>
        <w:t>w latach 2018-2020</w:t>
      </w:r>
    </w:p>
    <w:tbl>
      <w:tblPr>
        <w:tblStyle w:val="Siatkatabelijasna1"/>
        <w:tblW w:w="8697" w:type="dxa"/>
        <w:jc w:val="center"/>
        <w:tblLook w:val="04A0"/>
      </w:tblPr>
      <w:tblGrid>
        <w:gridCol w:w="5941"/>
        <w:gridCol w:w="863"/>
        <w:gridCol w:w="874"/>
        <w:gridCol w:w="1019"/>
      </w:tblGrid>
      <w:tr w:rsidR="00C86258" w:rsidRPr="00C86258" w:rsidTr="00CC4644">
        <w:trPr>
          <w:trHeight w:val="602"/>
          <w:jc w:val="center"/>
        </w:trPr>
        <w:tc>
          <w:tcPr>
            <w:tcW w:w="5941" w:type="dxa"/>
            <w:shd w:val="clear" w:color="auto" w:fill="D9E2F3" w:themeFill="accent1" w:themeFillTint="33"/>
            <w:vAlign w:val="center"/>
            <w:hideMark/>
          </w:tcPr>
          <w:p w:rsidR="00C86258" w:rsidRPr="00C86258" w:rsidRDefault="00C86258" w:rsidP="00D740E7">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Wyszczególnienie</w:t>
            </w:r>
          </w:p>
        </w:tc>
        <w:tc>
          <w:tcPr>
            <w:tcW w:w="863" w:type="dxa"/>
            <w:shd w:val="clear" w:color="auto" w:fill="D9E2F3" w:themeFill="accent1" w:themeFillTint="33"/>
            <w:noWrap/>
            <w:vAlign w:val="center"/>
            <w:hideMark/>
          </w:tcPr>
          <w:p w:rsidR="00C86258" w:rsidRPr="00C86258" w:rsidRDefault="00C86258" w:rsidP="00D740E7">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2018</w:t>
            </w:r>
          </w:p>
        </w:tc>
        <w:tc>
          <w:tcPr>
            <w:tcW w:w="874" w:type="dxa"/>
            <w:shd w:val="clear" w:color="auto" w:fill="D9E2F3" w:themeFill="accent1" w:themeFillTint="33"/>
            <w:vAlign w:val="center"/>
          </w:tcPr>
          <w:p w:rsidR="00C86258" w:rsidRPr="00C86258" w:rsidRDefault="00C86258" w:rsidP="00D740E7">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2019</w:t>
            </w:r>
          </w:p>
        </w:tc>
        <w:tc>
          <w:tcPr>
            <w:tcW w:w="1019" w:type="dxa"/>
            <w:shd w:val="clear" w:color="auto" w:fill="D9E2F3" w:themeFill="accent1" w:themeFillTint="33"/>
            <w:vAlign w:val="center"/>
          </w:tcPr>
          <w:p w:rsidR="00C86258" w:rsidRPr="00C86258" w:rsidRDefault="00C86258" w:rsidP="00D740E7">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2020</w:t>
            </w:r>
          </w:p>
        </w:tc>
      </w:tr>
      <w:tr w:rsidR="00556091" w:rsidRPr="00C86258" w:rsidTr="00CC4644">
        <w:trPr>
          <w:trHeight w:val="353"/>
          <w:jc w:val="center"/>
        </w:trPr>
        <w:tc>
          <w:tcPr>
            <w:tcW w:w="5941" w:type="dxa"/>
            <w:vAlign w:val="center"/>
          </w:tcPr>
          <w:p w:rsidR="00556091" w:rsidRPr="00C86258" w:rsidRDefault="00556091" w:rsidP="00556091">
            <w:pPr>
              <w:spacing w:after="0"/>
              <w:jc w:val="left"/>
              <w:rPr>
                <w:rFonts w:eastAsia="Times New Roman"/>
                <w:bCs/>
                <w:color w:val="000000"/>
                <w:sz w:val="20"/>
                <w:szCs w:val="20"/>
                <w:lang w:eastAsia="pl-PL"/>
              </w:rPr>
            </w:pPr>
            <w:r>
              <w:rPr>
                <w:rFonts w:cs="Calibri"/>
                <w:color w:val="000000"/>
              </w:rPr>
              <w:t>Liczba osób objętych pomocą w formie poradnictwa - ogółem</w:t>
            </w:r>
          </w:p>
        </w:tc>
        <w:tc>
          <w:tcPr>
            <w:tcW w:w="863" w:type="dxa"/>
            <w:noWrap/>
            <w:vAlign w:val="center"/>
          </w:tcPr>
          <w:p w:rsidR="00556091" w:rsidRPr="00556091" w:rsidRDefault="00556091" w:rsidP="00556091">
            <w:pPr>
              <w:spacing w:after="0"/>
              <w:jc w:val="center"/>
              <w:rPr>
                <w:rFonts w:eastAsia="Times New Roman"/>
                <w:color w:val="000000"/>
                <w:szCs w:val="20"/>
                <w:lang w:eastAsia="pl-PL"/>
              </w:rPr>
            </w:pPr>
            <w:r w:rsidRPr="00556091">
              <w:rPr>
                <w:szCs w:val="20"/>
              </w:rPr>
              <w:t>263</w:t>
            </w:r>
          </w:p>
        </w:tc>
        <w:tc>
          <w:tcPr>
            <w:tcW w:w="874" w:type="dxa"/>
            <w:vAlign w:val="center"/>
          </w:tcPr>
          <w:p w:rsidR="00556091" w:rsidRPr="00556091" w:rsidRDefault="00556091" w:rsidP="00556091">
            <w:pPr>
              <w:spacing w:after="0"/>
              <w:jc w:val="center"/>
              <w:rPr>
                <w:rFonts w:eastAsia="Times New Roman"/>
                <w:color w:val="000000"/>
                <w:szCs w:val="20"/>
                <w:lang w:eastAsia="pl-PL"/>
              </w:rPr>
            </w:pPr>
            <w:r w:rsidRPr="00556091">
              <w:rPr>
                <w:szCs w:val="20"/>
              </w:rPr>
              <w:t>204</w:t>
            </w:r>
          </w:p>
        </w:tc>
        <w:tc>
          <w:tcPr>
            <w:tcW w:w="1019" w:type="dxa"/>
            <w:vAlign w:val="center"/>
          </w:tcPr>
          <w:p w:rsidR="00556091" w:rsidRPr="00556091" w:rsidRDefault="00556091" w:rsidP="00556091">
            <w:pPr>
              <w:spacing w:after="0"/>
              <w:jc w:val="center"/>
              <w:rPr>
                <w:rFonts w:eastAsia="Times New Roman"/>
                <w:color w:val="000000"/>
                <w:szCs w:val="20"/>
                <w:lang w:eastAsia="pl-PL"/>
              </w:rPr>
            </w:pPr>
            <w:r w:rsidRPr="00556091">
              <w:rPr>
                <w:szCs w:val="20"/>
              </w:rPr>
              <w:t>271</w:t>
            </w:r>
          </w:p>
        </w:tc>
      </w:tr>
      <w:tr w:rsidR="00556091" w:rsidRPr="00C86258" w:rsidTr="00CC4644">
        <w:trPr>
          <w:trHeight w:val="353"/>
          <w:jc w:val="center"/>
        </w:trPr>
        <w:tc>
          <w:tcPr>
            <w:tcW w:w="5941" w:type="dxa"/>
            <w:vAlign w:val="center"/>
          </w:tcPr>
          <w:p w:rsidR="00556091" w:rsidRPr="00C86258" w:rsidRDefault="00556091" w:rsidP="00556091">
            <w:pPr>
              <w:spacing w:after="0"/>
              <w:jc w:val="left"/>
              <w:rPr>
                <w:rFonts w:eastAsia="Times New Roman"/>
                <w:bCs/>
                <w:color w:val="000000"/>
                <w:sz w:val="20"/>
                <w:szCs w:val="20"/>
                <w:lang w:eastAsia="pl-PL"/>
              </w:rPr>
            </w:pPr>
            <w:r>
              <w:rPr>
                <w:rFonts w:cs="Calibri"/>
                <w:color w:val="000000"/>
              </w:rPr>
              <w:t xml:space="preserve"> - medycznego</w:t>
            </w:r>
          </w:p>
        </w:tc>
        <w:tc>
          <w:tcPr>
            <w:tcW w:w="863" w:type="dxa"/>
            <w:noWrap/>
            <w:vAlign w:val="center"/>
          </w:tcPr>
          <w:p w:rsidR="00556091" w:rsidRPr="00556091" w:rsidRDefault="00556091" w:rsidP="00556091">
            <w:pPr>
              <w:spacing w:after="0"/>
              <w:jc w:val="center"/>
              <w:rPr>
                <w:rFonts w:eastAsia="Times New Roman"/>
                <w:color w:val="000000"/>
                <w:szCs w:val="20"/>
                <w:lang w:eastAsia="pl-PL"/>
              </w:rPr>
            </w:pPr>
            <w:r w:rsidRPr="00556091">
              <w:rPr>
                <w:szCs w:val="20"/>
              </w:rPr>
              <w:t>1</w:t>
            </w:r>
          </w:p>
        </w:tc>
        <w:tc>
          <w:tcPr>
            <w:tcW w:w="874" w:type="dxa"/>
            <w:vAlign w:val="center"/>
          </w:tcPr>
          <w:p w:rsidR="00556091" w:rsidRPr="00556091" w:rsidRDefault="00556091" w:rsidP="00556091">
            <w:pPr>
              <w:spacing w:after="0"/>
              <w:jc w:val="center"/>
              <w:rPr>
                <w:rFonts w:eastAsia="Times New Roman"/>
                <w:color w:val="000000"/>
                <w:szCs w:val="20"/>
                <w:lang w:eastAsia="pl-PL"/>
              </w:rPr>
            </w:pPr>
            <w:r w:rsidRPr="00556091">
              <w:rPr>
                <w:szCs w:val="20"/>
              </w:rPr>
              <w:t>2</w:t>
            </w:r>
          </w:p>
        </w:tc>
        <w:tc>
          <w:tcPr>
            <w:tcW w:w="1019" w:type="dxa"/>
            <w:vAlign w:val="center"/>
          </w:tcPr>
          <w:p w:rsidR="00556091" w:rsidRPr="00556091" w:rsidRDefault="00556091" w:rsidP="00556091">
            <w:pPr>
              <w:spacing w:after="0"/>
              <w:jc w:val="center"/>
              <w:rPr>
                <w:rFonts w:eastAsia="Times New Roman"/>
                <w:color w:val="000000"/>
                <w:szCs w:val="20"/>
                <w:lang w:eastAsia="pl-PL"/>
              </w:rPr>
            </w:pPr>
            <w:r w:rsidRPr="00556091">
              <w:rPr>
                <w:szCs w:val="20"/>
              </w:rPr>
              <w:t>6</w:t>
            </w:r>
          </w:p>
        </w:tc>
      </w:tr>
      <w:tr w:rsidR="00556091" w:rsidRPr="00C86258" w:rsidTr="00CC4644">
        <w:trPr>
          <w:trHeight w:val="353"/>
          <w:jc w:val="center"/>
        </w:trPr>
        <w:tc>
          <w:tcPr>
            <w:tcW w:w="5941" w:type="dxa"/>
            <w:vAlign w:val="center"/>
          </w:tcPr>
          <w:p w:rsidR="00556091" w:rsidRPr="00C86258" w:rsidRDefault="00556091" w:rsidP="00556091">
            <w:pPr>
              <w:spacing w:after="0"/>
              <w:jc w:val="left"/>
              <w:rPr>
                <w:rFonts w:eastAsia="Times New Roman"/>
                <w:bCs/>
                <w:color w:val="000000"/>
                <w:sz w:val="20"/>
                <w:szCs w:val="20"/>
                <w:lang w:eastAsia="pl-PL"/>
              </w:rPr>
            </w:pPr>
            <w:r>
              <w:rPr>
                <w:rFonts w:cs="Calibri"/>
                <w:color w:val="000000"/>
              </w:rPr>
              <w:t xml:space="preserve"> - psychologicznego</w:t>
            </w:r>
          </w:p>
        </w:tc>
        <w:tc>
          <w:tcPr>
            <w:tcW w:w="863" w:type="dxa"/>
            <w:noWrap/>
            <w:vAlign w:val="center"/>
          </w:tcPr>
          <w:p w:rsidR="00556091" w:rsidRPr="00556091" w:rsidRDefault="00556091" w:rsidP="00556091">
            <w:pPr>
              <w:spacing w:after="0"/>
              <w:jc w:val="center"/>
              <w:rPr>
                <w:rFonts w:eastAsia="Times New Roman"/>
                <w:color w:val="000000"/>
                <w:szCs w:val="20"/>
                <w:lang w:eastAsia="pl-PL"/>
              </w:rPr>
            </w:pPr>
            <w:r w:rsidRPr="00556091">
              <w:rPr>
                <w:szCs w:val="20"/>
              </w:rPr>
              <w:t>25</w:t>
            </w:r>
          </w:p>
        </w:tc>
        <w:tc>
          <w:tcPr>
            <w:tcW w:w="874" w:type="dxa"/>
            <w:vAlign w:val="center"/>
          </w:tcPr>
          <w:p w:rsidR="00556091" w:rsidRPr="00556091" w:rsidRDefault="00556091" w:rsidP="00556091">
            <w:pPr>
              <w:spacing w:after="0"/>
              <w:jc w:val="center"/>
              <w:rPr>
                <w:rFonts w:eastAsia="Times New Roman"/>
                <w:color w:val="000000"/>
                <w:szCs w:val="20"/>
                <w:lang w:eastAsia="pl-PL"/>
              </w:rPr>
            </w:pPr>
            <w:r w:rsidRPr="00556091">
              <w:rPr>
                <w:szCs w:val="20"/>
              </w:rPr>
              <w:t>60</w:t>
            </w:r>
          </w:p>
        </w:tc>
        <w:tc>
          <w:tcPr>
            <w:tcW w:w="1019" w:type="dxa"/>
            <w:vAlign w:val="center"/>
          </w:tcPr>
          <w:p w:rsidR="00556091" w:rsidRPr="00556091" w:rsidRDefault="00556091" w:rsidP="00556091">
            <w:pPr>
              <w:spacing w:after="0"/>
              <w:jc w:val="center"/>
              <w:rPr>
                <w:rFonts w:eastAsia="Times New Roman"/>
                <w:color w:val="000000"/>
                <w:szCs w:val="20"/>
                <w:lang w:eastAsia="pl-PL"/>
              </w:rPr>
            </w:pPr>
            <w:r w:rsidRPr="00556091">
              <w:rPr>
                <w:szCs w:val="20"/>
              </w:rPr>
              <w:t>109</w:t>
            </w:r>
          </w:p>
        </w:tc>
      </w:tr>
      <w:tr w:rsidR="00556091" w:rsidRPr="00C86258" w:rsidTr="00CC4644">
        <w:trPr>
          <w:trHeight w:val="353"/>
          <w:jc w:val="center"/>
        </w:trPr>
        <w:tc>
          <w:tcPr>
            <w:tcW w:w="5941" w:type="dxa"/>
            <w:vAlign w:val="center"/>
          </w:tcPr>
          <w:p w:rsidR="00556091" w:rsidRPr="00C86258" w:rsidRDefault="00556091" w:rsidP="00556091">
            <w:pPr>
              <w:spacing w:after="0"/>
              <w:jc w:val="left"/>
              <w:rPr>
                <w:rFonts w:eastAsia="Times New Roman"/>
                <w:bCs/>
                <w:color w:val="000000"/>
                <w:sz w:val="20"/>
                <w:szCs w:val="20"/>
                <w:lang w:eastAsia="pl-PL"/>
              </w:rPr>
            </w:pPr>
            <w:r>
              <w:rPr>
                <w:rFonts w:cs="Calibri"/>
                <w:color w:val="000000"/>
              </w:rPr>
              <w:t xml:space="preserve"> - prawnego</w:t>
            </w:r>
          </w:p>
        </w:tc>
        <w:tc>
          <w:tcPr>
            <w:tcW w:w="863" w:type="dxa"/>
            <w:noWrap/>
            <w:vAlign w:val="center"/>
          </w:tcPr>
          <w:p w:rsidR="00556091" w:rsidRPr="00556091" w:rsidRDefault="00556091" w:rsidP="00556091">
            <w:pPr>
              <w:spacing w:after="0"/>
              <w:jc w:val="center"/>
              <w:rPr>
                <w:rFonts w:eastAsia="Times New Roman"/>
                <w:color w:val="000000"/>
                <w:szCs w:val="20"/>
                <w:lang w:eastAsia="pl-PL"/>
              </w:rPr>
            </w:pPr>
            <w:r w:rsidRPr="00556091">
              <w:rPr>
                <w:szCs w:val="20"/>
              </w:rPr>
              <w:t>19</w:t>
            </w:r>
          </w:p>
        </w:tc>
        <w:tc>
          <w:tcPr>
            <w:tcW w:w="874" w:type="dxa"/>
            <w:vAlign w:val="center"/>
          </w:tcPr>
          <w:p w:rsidR="00556091" w:rsidRPr="00556091" w:rsidRDefault="00556091" w:rsidP="00556091">
            <w:pPr>
              <w:spacing w:after="0"/>
              <w:jc w:val="center"/>
              <w:rPr>
                <w:rFonts w:eastAsia="Times New Roman"/>
                <w:color w:val="000000"/>
                <w:szCs w:val="20"/>
                <w:lang w:eastAsia="pl-PL"/>
              </w:rPr>
            </w:pPr>
            <w:r w:rsidRPr="00556091">
              <w:rPr>
                <w:szCs w:val="20"/>
              </w:rPr>
              <w:t>24</w:t>
            </w:r>
          </w:p>
        </w:tc>
        <w:tc>
          <w:tcPr>
            <w:tcW w:w="1019" w:type="dxa"/>
            <w:vAlign w:val="center"/>
          </w:tcPr>
          <w:p w:rsidR="00556091" w:rsidRPr="00556091" w:rsidRDefault="00556091" w:rsidP="00556091">
            <w:pPr>
              <w:spacing w:after="0"/>
              <w:jc w:val="center"/>
              <w:rPr>
                <w:rFonts w:eastAsia="Times New Roman"/>
                <w:color w:val="000000"/>
                <w:szCs w:val="20"/>
                <w:lang w:eastAsia="pl-PL"/>
              </w:rPr>
            </w:pPr>
            <w:r w:rsidRPr="00556091">
              <w:rPr>
                <w:szCs w:val="20"/>
              </w:rPr>
              <w:t>42</w:t>
            </w:r>
          </w:p>
        </w:tc>
      </w:tr>
      <w:tr w:rsidR="00556091" w:rsidRPr="00C86258" w:rsidTr="00CC4644">
        <w:trPr>
          <w:trHeight w:val="353"/>
          <w:jc w:val="center"/>
        </w:trPr>
        <w:tc>
          <w:tcPr>
            <w:tcW w:w="5941" w:type="dxa"/>
            <w:vAlign w:val="center"/>
          </w:tcPr>
          <w:p w:rsidR="00556091" w:rsidRPr="00C86258" w:rsidRDefault="00556091" w:rsidP="00556091">
            <w:pPr>
              <w:spacing w:after="0"/>
              <w:jc w:val="left"/>
              <w:rPr>
                <w:rFonts w:eastAsia="Times New Roman"/>
                <w:bCs/>
                <w:color w:val="000000"/>
                <w:sz w:val="20"/>
                <w:szCs w:val="20"/>
                <w:lang w:eastAsia="pl-PL"/>
              </w:rPr>
            </w:pPr>
            <w:r>
              <w:rPr>
                <w:rFonts w:cs="Calibri"/>
                <w:color w:val="000000"/>
              </w:rPr>
              <w:t xml:space="preserve"> - socjalnego</w:t>
            </w:r>
          </w:p>
        </w:tc>
        <w:tc>
          <w:tcPr>
            <w:tcW w:w="863" w:type="dxa"/>
            <w:noWrap/>
            <w:vAlign w:val="center"/>
          </w:tcPr>
          <w:p w:rsidR="00556091" w:rsidRPr="00556091" w:rsidRDefault="00556091" w:rsidP="00556091">
            <w:pPr>
              <w:spacing w:after="0"/>
              <w:jc w:val="center"/>
              <w:rPr>
                <w:rFonts w:eastAsia="Times New Roman"/>
                <w:color w:val="000000"/>
                <w:szCs w:val="20"/>
                <w:lang w:eastAsia="pl-PL"/>
              </w:rPr>
            </w:pPr>
            <w:r w:rsidRPr="00556091">
              <w:rPr>
                <w:szCs w:val="20"/>
              </w:rPr>
              <w:t>235</w:t>
            </w:r>
          </w:p>
        </w:tc>
        <w:tc>
          <w:tcPr>
            <w:tcW w:w="874" w:type="dxa"/>
            <w:vAlign w:val="center"/>
          </w:tcPr>
          <w:p w:rsidR="00556091" w:rsidRPr="00556091" w:rsidRDefault="00556091" w:rsidP="00556091">
            <w:pPr>
              <w:spacing w:after="0"/>
              <w:jc w:val="center"/>
              <w:rPr>
                <w:rFonts w:eastAsia="Times New Roman"/>
                <w:color w:val="000000"/>
                <w:szCs w:val="20"/>
                <w:lang w:eastAsia="pl-PL"/>
              </w:rPr>
            </w:pPr>
            <w:r w:rsidRPr="00556091">
              <w:rPr>
                <w:szCs w:val="20"/>
              </w:rPr>
              <w:t>204</w:t>
            </w:r>
          </w:p>
        </w:tc>
        <w:tc>
          <w:tcPr>
            <w:tcW w:w="1019" w:type="dxa"/>
            <w:vAlign w:val="center"/>
          </w:tcPr>
          <w:p w:rsidR="00556091" w:rsidRPr="00556091" w:rsidRDefault="00556091" w:rsidP="00556091">
            <w:pPr>
              <w:spacing w:after="0"/>
              <w:jc w:val="center"/>
              <w:rPr>
                <w:rFonts w:eastAsia="Times New Roman"/>
                <w:color w:val="000000"/>
                <w:szCs w:val="20"/>
                <w:lang w:eastAsia="pl-PL"/>
              </w:rPr>
            </w:pPr>
            <w:r w:rsidRPr="00556091">
              <w:rPr>
                <w:szCs w:val="20"/>
              </w:rPr>
              <w:t>212</w:t>
            </w:r>
          </w:p>
        </w:tc>
      </w:tr>
      <w:tr w:rsidR="00556091" w:rsidRPr="00C86258" w:rsidTr="00CC4644">
        <w:trPr>
          <w:trHeight w:val="353"/>
          <w:jc w:val="center"/>
        </w:trPr>
        <w:tc>
          <w:tcPr>
            <w:tcW w:w="5941" w:type="dxa"/>
            <w:vAlign w:val="center"/>
          </w:tcPr>
          <w:p w:rsidR="00556091" w:rsidRPr="00C86258" w:rsidRDefault="00556091" w:rsidP="00556091">
            <w:pPr>
              <w:spacing w:after="0"/>
              <w:jc w:val="left"/>
              <w:rPr>
                <w:rFonts w:eastAsia="Times New Roman"/>
                <w:bCs/>
                <w:color w:val="000000"/>
                <w:sz w:val="20"/>
                <w:szCs w:val="20"/>
                <w:lang w:eastAsia="pl-PL"/>
              </w:rPr>
            </w:pPr>
            <w:r>
              <w:rPr>
                <w:rFonts w:cs="Calibri"/>
                <w:color w:val="000000"/>
              </w:rPr>
              <w:t xml:space="preserve"> - zawodowego i rodzinnego</w:t>
            </w:r>
          </w:p>
        </w:tc>
        <w:tc>
          <w:tcPr>
            <w:tcW w:w="863" w:type="dxa"/>
            <w:noWrap/>
            <w:vAlign w:val="center"/>
          </w:tcPr>
          <w:p w:rsidR="00556091" w:rsidRPr="00556091" w:rsidRDefault="00556091" w:rsidP="00556091">
            <w:pPr>
              <w:spacing w:after="0"/>
              <w:jc w:val="center"/>
              <w:rPr>
                <w:rFonts w:eastAsia="Times New Roman"/>
                <w:color w:val="000000"/>
                <w:szCs w:val="20"/>
                <w:lang w:eastAsia="pl-PL"/>
              </w:rPr>
            </w:pPr>
            <w:r w:rsidRPr="00556091">
              <w:rPr>
                <w:szCs w:val="20"/>
              </w:rPr>
              <w:t>110</w:t>
            </w:r>
          </w:p>
        </w:tc>
        <w:tc>
          <w:tcPr>
            <w:tcW w:w="874" w:type="dxa"/>
            <w:vAlign w:val="center"/>
          </w:tcPr>
          <w:p w:rsidR="00556091" w:rsidRPr="00556091" w:rsidRDefault="00556091" w:rsidP="00556091">
            <w:pPr>
              <w:spacing w:after="0"/>
              <w:jc w:val="center"/>
              <w:rPr>
                <w:rFonts w:eastAsia="Times New Roman"/>
                <w:color w:val="000000"/>
                <w:szCs w:val="20"/>
                <w:lang w:eastAsia="pl-PL"/>
              </w:rPr>
            </w:pPr>
            <w:r w:rsidRPr="00556091">
              <w:rPr>
                <w:szCs w:val="20"/>
              </w:rPr>
              <w:t>93</w:t>
            </w:r>
          </w:p>
        </w:tc>
        <w:tc>
          <w:tcPr>
            <w:tcW w:w="1019" w:type="dxa"/>
            <w:vAlign w:val="center"/>
          </w:tcPr>
          <w:p w:rsidR="00556091" w:rsidRPr="00556091" w:rsidRDefault="00556091" w:rsidP="00556091">
            <w:pPr>
              <w:spacing w:after="0"/>
              <w:jc w:val="center"/>
              <w:rPr>
                <w:rFonts w:eastAsia="Times New Roman"/>
                <w:color w:val="000000"/>
                <w:szCs w:val="20"/>
                <w:lang w:eastAsia="pl-PL"/>
              </w:rPr>
            </w:pPr>
            <w:r w:rsidRPr="00556091">
              <w:rPr>
                <w:szCs w:val="20"/>
              </w:rPr>
              <w:t>79</w:t>
            </w:r>
          </w:p>
        </w:tc>
      </w:tr>
    </w:tbl>
    <w:p w:rsidR="00C86258" w:rsidRPr="00C86258" w:rsidRDefault="00C86258" w:rsidP="00C86258">
      <w:pPr>
        <w:pStyle w:val="Legenda"/>
        <w:spacing w:after="120"/>
        <w:rPr>
          <w:rStyle w:val="Odwoaniedelikatne"/>
          <w:i w:val="0"/>
        </w:rPr>
      </w:pPr>
      <w:r w:rsidRPr="00C86258">
        <w:rPr>
          <w:rStyle w:val="Odwoaniedelikatne"/>
          <w:i w:val="0"/>
        </w:rPr>
        <w:lastRenderedPageBreak/>
        <w:t>Źródło: opracowanie własne na podstawie danych gmin powiatu lidzbarskiego.</w:t>
      </w:r>
    </w:p>
    <w:p w:rsidR="00C86258" w:rsidRPr="00A51FFB" w:rsidRDefault="00C86258" w:rsidP="00C86258">
      <w:r w:rsidRPr="00C86258">
        <w:t>Poradnictwo specjalistyczne</w:t>
      </w:r>
      <w:r w:rsidR="00A51FFB" w:rsidRPr="00A51FFB">
        <w:t xml:space="preserve"> przy PCPR</w:t>
      </w:r>
      <w:r w:rsidRPr="00C86258">
        <w:t xml:space="preserve"> jest skierowane do osób potrzebujących wsparcia psychologicznego i socjalnego. </w:t>
      </w:r>
      <w:r w:rsidR="00A51FFB" w:rsidRPr="00A51FFB">
        <w:t xml:space="preserve">W 2020 roku z porad psychologa skorzystało </w:t>
      </w:r>
      <w:r w:rsidRPr="00A51FFB">
        <w:t>16 osób</w:t>
      </w:r>
      <w:r w:rsidR="00A51FFB" w:rsidRPr="00A51FFB">
        <w:t>, w 2019 roku było to 15 osób, a w 2018 roku 16 osób.</w:t>
      </w:r>
    </w:p>
    <w:p w:rsidR="00CC4644" w:rsidRPr="00CC4644" w:rsidRDefault="00CC4644" w:rsidP="00CC4644">
      <w:r w:rsidRPr="00CC4644">
        <w:t>Analizie poddano również dane Komendy Powiatowej Policji w Lidzbarku Warmińskim dotyczące interwencji domowych. W latach 2018-2020 liczba tych interwencji w powiecie utrzym</w:t>
      </w:r>
      <w:r w:rsidR="00F830F6">
        <w:t>ywała</w:t>
      </w:r>
      <w:r w:rsidRPr="00CC4644">
        <w:t xml:space="preserve"> się na zbliżonym poziomie. W 2020 roku wyniosła 358, co oznacza wzrost </w:t>
      </w:r>
      <w:r w:rsidR="00F830F6">
        <w:br/>
      </w:r>
      <w:r w:rsidRPr="00CC4644">
        <w:t>w porównaniu do 2018 roku o 3</w:t>
      </w:r>
      <w:r w:rsidR="00F830F6">
        <w:t xml:space="preserve"> interwencje.</w:t>
      </w:r>
    </w:p>
    <w:p w:rsidR="00CC4644" w:rsidRPr="00CC4644" w:rsidRDefault="00CC4644" w:rsidP="00CC4644">
      <w:pPr>
        <w:pStyle w:val="Legenda"/>
        <w:jc w:val="center"/>
        <w:rPr>
          <w:rStyle w:val="Tytuksiki"/>
          <w:i w:val="0"/>
        </w:rPr>
      </w:pPr>
      <w:r w:rsidRPr="00CC4644">
        <w:rPr>
          <w:rStyle w:val="Tytuksiki"/>
          <w:i w:val="0"/>
        </w:rPr>
        <w:t xml:space="preserve">Tabela </w:t>
      </w:r>
      <w:r w:rsidR="00FA2F7E" w:rsidRPr="00CC4644">
        <w:rPr>
          <w:rStyle w:val="Tytuksiki"/>
          <w:i w:val="0"/>
        </w:rPr>
        <w:fldChar w:fldCharType="begin"/>
      </w:r>
      <w:r w:rsidRPr="00CC4644">
        <w:rPr>
          <w:rStyle w:val="Tytuksiki"/>
          <w:i w:val="0"/>
        </w:rPr>
        <w:instrText xml:space="preserve"> SEQ Tabela \* ARABIC </w:instrText>
      </w:r>
      <w:r w:rsidR="00FA2F7E" w:rsidRPr="00CC4644">
        <w:rPr>
          <w:rStyle w:val="Tytuksiki"/>
          <w:i w:val="0"/>
        </w:rPr>
        <w:fldChar w:fldCharType="separate"/>
      </w:r>
      <w:r w:rsidR="003A0BF1">
        <w:rPr>
          <w:rStyle w:val="Tytuksiki"/>
          <w:i w:val="0"/>
          <w:noProof/>
        </w:rPr>
        <w:t>6</w:t>
      </w:r>
      <w:r w:rsidR="00FA2F7E" w:rsidRPr="00CC4644">
        <w:rPr>
          <w:rStyle w:val="Tytuksiki"/>
          <w:i w:val="0"/>
        </w:rPr>
        <w:fldChar w:fldCharType="end"/>
      </w:r>
      <w:r w:rsidRPr="00CC4644">
        <w:rPr>
          <w:rStyle w:val="Tytuksiki"/>
          <w:i w:val="0"/>
        </w:rPr>
        <w:t xml:space="preserve">. Wybrane dane dotyczące interwencji domowych oraz przemocy w rodzinie </w:t>
      </w:r>
      <w:r>
        <w:rPr>
          <w:rStyle w:val="Tytuksiki"/>
          <w:i w:val="0"/>
        </w:rPr>
        <w:br/>
      </w:r>
      <w:r w:rsidRPr="00CC4644">
        <w:rPr>
          <w:rStyle w:val="Tytuksiki"/>
          <w:i w:val="0"/>
        </w:rPr>
        <w:t>w latach 201</w:t>
      </w:r>
      <w:r w:rsidR="003F49CF">
        <w:rPr>
          <w:rStyle w:val="Tytuksiki"/>
          <w:i w:val="0"/>
        </w:rPr>
        <w:t>8</w:t>
      </w:r>
      <w:r w:rsidRPr="00CC4644">
        <w:rPr>
          <w:rStyle w:val="Tytuksiki"/>
          <w:i w:val="0"/>
        </w:rPr>
        <w:t>-20</w:t>
      </w:r>
      <w:r w:rsidR="003F49CF">
        <w:rPr>
          <w:rStyle w:val="Tytuksiki"/>
          <w:i w:val="0"/>
        </w:rPr>
        <w:t>20</w:t>
      </w:r>
    </w:p>
    <w:tbl>
      <w:tblPr>
        <w:tblStyle w:val="GridTableLight"/>
        <w:tblW w:w="8860" w:type="dxa"/>
        <w:jc w:val="center"/>
        <w:tblLook w:val="04A0"/>
      </w:tblPr>
      <w:tblGrid>
        <w:gridCol w:w="5488"/>
        <w:gridCol w:w="1130"/>
        <w:gridCol w:w="1175"/>
        <w:gridCol w:w="1067"/>
      </w:tblGrid>
      <w:tr w:rsidR="00CC4644" w:rsidRPr="00CC4644" w:rsidTr="00CC4644">
        <w:trPr>
          <w:trHeight w:val="400"/>
          <w:jc w:val="center"/>
        </w:trPr>
        <w:tc>
          <w:tcPr>
            <w:tcW w:w="5488" w:type="dxa"/>
            <w:shd w:val="clear" w:color="auto" w:fill="D9E2F3" w:themeFill="accent1" w:themeFillTint="33"/>
            <w:vAlign w:val="center"/>
            <w:hideMark/>
          </w:tcPr>
          <w:p w:rsidR="00CC4644" w:rsidRPr="00CC4644" w:rsidRDefault="00CC4644" w:rsidP="00CC4644">
            <w:pPr>
              <w:spacing w:after="0"/>
              <w:jc w:val="center"/>
              <w:rPr>
                <w:rFonts w:ascii="Calibri" w:eastAsia="Times New Roman" w:hAnsi="Calibri" w:cs="Times New Roman"/>
                <w:b/>
                <w:color w:val="000000"/>
                <w:sz w:val="20"/>
                <w:lang w:eastAsia="pl-PL"/>
              </w:rPr>
            </w:pPr>
            <w:r w:rsidRPr="00CC4644">
              <w:rPr>
                <w:rFonts w:eastAsia="Times New Roman"/>
                <w:b/>
                <w:bCs/>
                <w:color w:val="000000"/>
                <w:sz w:val="20"/>
                <w:szCs w:val="20"/>
                <w:lang w:eastAsia="pl-PL"/>
              </w:rPr>
              <w:t>Wyszczególnienie</w:t>
            </w:r>
          </w:p>
        </w:tc>
        <w:tc>
          <w:tcPr>
            <w:tcW w:w="1130" w:type="dxa"/>
            <w:shd w:val="clear" w:color="auto" w:fill="D9E2F3" w:themeFill="accent1" w:themeFillTint="33"/>
            <w:vAlign w:val="center"/>
          </w:tcPr>
          <w:p w:rsidR="00CC4644" w:rsidRPr="00CC4644" w:rsidRDefault="00CC4644" w:rsidP="00CC4644">
            <w:pPr>
              <w:spacing w:after="0"/>
              <w:jc w:val="center"/>
              <w:rPr>
                <w:rFonts w:ascii="Calibri" w:eastAsia="Times New Roman" w:hAnsi="Calibri" w:cs="Times New Roman"/>
                <w:b/>
                <w:color w:val="000000"/>
                <w:sz w:val="20"/>
                <w:lang w:eastAsia="pl-PL"/>
              </w:rPr>
            </w:pPr>
            <w:r w:rsidRPr="00CC4644">
              <w:rPr>
                <w:rFonts w:eastAsia="Times New Roman"/>
                <w:b/>
                <w:bCs/>
                <w:color w:val="000000"/>
                <w:sz w:val="20"/>
                <w:szCs w:val="20"/>
                <w:lang w:eastAsia="pl-PL"/>
              </w:rPr>
              <w:t>2018</w:t>
            </w:r>
          </w:p>
        </w:tc>
        <w:tc>
          <w:tcPr>
            <w:tcW w:w="1175" w:type="dxa"/>
            <w:shd w:val="clear" w:color="auto" w:fill="D9E2F3" w:themeFill="accent1" w:themeFillTint="33"/>
            <w:noWrap/>
            <w:vAlign w:val="center"/>
          </w:tcPr>
          <w:p w:rsidR="00CC4644" w:rsidRPr="00CC4644" w:rsidRDefault="00CC4644" w:rsidP="00CC4644">
            <w:pPr>
              <w:spacing w:after="0"/>
              <w:jc w:val="center"/>
              <w:rPr>
                <w:rFonts w:ascii="Calibri" w:eastAsia="Times New Roman" w:hAnsi="Calibri" w:cs="Times New Roman"/>
                <w:b/>
                <w:color w:val="000000"/>
                <w:sz w:val="20"/>
                <w:lang w:eastAsia="pl-PL"/>
              </w:rPr>
            </w:pPr>
            <w:r w:rsidRPr="00CC4644">
              <w:rPr>
                <w:rFonts w:eastAsia="Times New Roman"/>
                <w:b/>
                <w:bCs/>
                <w:color w:val="000000"/>
                <w:sz w:val="20"/>
                <w:szCs w:val="20"/>
                <w:lang w:eastAsia="pl-PL"/>
              </w:rPr>
              <w:t>2019</w:t>
            </w:r>
          </w:p>
        </w:tc>
        <w:tc>
          <w:tcPr>
            <w:tcW w:w="1067" w:type="dxa"/>
            <w:shd w:val="clear" w:color="auto" w:fill="D9E2F3" w:themeFill="accent1" w:themeFillTint="33"/>
            <w:noWrap/>
            <w:vAlign w:val="center"/>
          </w:tcPr>
          <w:p w:rsidR="00CC4644" w:rsidRPr="00CC4644" w:rsidRDefault="00CC4644" w:rsidP="00CC4644">
            <w:pPr>
              <w:spacing w:after="0"/>
              <w:jc w:val="center"/>
              <w:rPr>
                <w:rFonts w:ascii="Calibri" w:eastAsia="Times New Roman" w:hAnsi="Calibri" w:cs="Times New Roman"/>
                <w:b/>
                <w:color w:val="000000"/>
                <w:sz w:val="20"/>
                <w:lang w:eastAsia="pl-PL"/>
              </w:rPr>
            </w:pPr>
            <w:r w:rsidRPr="00CC4644">
              <w:rPr>
                <w:rFonts w:eastAsia="Times New Roman"/>
                <w:b/>
                <w:bCs/>
                <w:color w:val="000000"/>
                <w:sz w:val="20"/>
                <w:szCs w:val="20"/>
                <w:lang w:eastAsia="pl-PL"/>
              </w:rPr>
              <w:t>2020</w:t>
            </w:r>
          </w:p>
        </w:tc>
      </w:tr>
      <w:tr w:rsidR="00CC4644" w:rsidRPr="00CC4644" w:rsidTr="00CC4644">
        <w:trPr>
          <w:trHeight w:val="321"/>
          <w:jc w:val="center"/>
        </w:trPr>
        <w:tc>
          <w:tcPr>
            <w:tcW w:w="5488" w:type="dxa"/>
            <w:vAlign w:val="center"/>
          </w:tcPr>
          <w:p w:rsidR="00CC4644" w:rsidRPr="00CC4644" w:rsidRDefault="00CC4644" w:rsidP="00D740E7">
            <w:pPr>
              <w:spacing w:after="0"/>
              <w:jc w:val="left"/>
              <w:rPr>
                <w:rFonts w:ascii="Calibri" w:eastAsia="Times New Roman" w:hAnsi="Calibri" w:cs="Times New Roman"/>
                <w:b/>
                <w:color w:val="000000"/>
                <w:sz w:val="20"/>
                <w:lang w:eastAsia="pl-PL"/>
              </w:rPr>
            </w:pPr>
            <w:r w:rsidRPr="00CC4644">
              <w:rPr>
                <w:rFonts w:ascii="Calibri" w:eastAsia="Times New Roman" w:hAnsi="Calibri" w:cs="Times New Roman"/>
                <w:color w:val="000000"/>
                <w:sz w:val="20"/>
                <w:lang w:eastAsia="pl-PL"/>
              </w:rPr>
              <w:t>Interwencje domowe policji</w:t>
            </w:r>
          </w:p>
        </w:tc>
        <w:tc>
          <w:tcPr>
            <w:tcW w:w="1130" w:type="dxa"/>
            <w:vAlign w:val="center"/>
          </w:tcPr>
          <w:p w:rsidR="00CC4644" w:rsidRPr="00CC4644" w:rsidRDefault="00CC4644" w:rsidP="00D740E7">
            <w:pPr>
              <w:spacing w:after="0"/>
              <w:jc w:val="center"/>
              <w:rPr>
                <w:rFonts w:ascii="Calibri" w:eastAsia="Times New Roman" w:hAnsi="Calibri" w:cs="Times New Roman"/>
                <w:color w:val="000000"/>
                <w:sz w:val="20"/>
                <w:lang w:eastAsia="pl-PL"/>
              </w:rPr>
            </w:pPr>
            <w:r w:rsidRPr="00CC4644">
              <w:rPr>
                <w:rFonts w:ascii="Calibri" w:eastAsia="Times New Roman" w:hAnsi="Calibri" w:cs="Times New Roman"/>
                <w:color w:val="000000"/>
                <w:sz w:val="20"/>
                <w:lang w:eastAsia="pl-PL"/>
              </w:rPr>
              <w:t>355</w:t>
            </w:r>
          </w:p>
        </w:tc>
        <w:tc>
          <w:tcPr>
            <w:tcW w:w="1175" w:type="dxa"/>
            <w:noWrap/>
            <w:vAlign w:val="center"/>
          </w:tcPr>
          <w:p w:rsidR="00CC4644" w:rsidRPr="00CC4644" w:rsidRDefault="00CC4644" w:rsidP="00D740E7">
            <w:pPr>
              <w:spacing w:after="0"/>
              <w:jc w:val="center"/>
              <w:rPr>
                <w:rFonts w:ascii="Calibri" w:eastAsia="Times New Roman" w:hAnsi="Calibri" w:cs="Times New Roman"/>
                <w:color w:val="000000"/>
                <w:sz w:val="20"/>
                <w:lang w:eastAsia="pl-PL"/>
              </w:rPr>
            </w:pPr>
            <w:r w:rsidRPr="00CC4644">
              <w:rPr>
                <w:rFonts w:ascii="Calibri" w:eastAsia="Times New Roman" w:hAnsi="Calibri" w:cs="Times New Roman"/>
                <w:color w:val="000000"/>
                <w:sz w:val="20"/>
                <w:lang w:eastAsia="pl-PL"/>
              </w:rPr>
              <w:t>305</w:t>
            </w:r>
          </w:p>
        </w:tc>
        <w:tc>
          <w:tcPr>
            <w:tcW w:w="1067" w:type="dxa"/>
            <w:noWrap/>
            <w:vAlign w:val="center"/>
          </w:tcPr>
          <w:p w:rsidR="00CC4644" w:rsidRPr="00CC4644" w:rsidRDefault="00CC4644" w:rsidP="00D740E7">
            <w:pPr>
              <w:spacing w:after="0"/>
              <w:jc w:val="center"/>
              <w:rPr>
                <w:rFonts w:ascii="Calibri" w:eastAsia="Times New Roman" w:hAnsi="Calibri" w:cs="Times New Roman"/>
                <w:color w:val="000000"/>
                <w:sz w:val="20"/>
                <w:lang w:eastAsia="pl-PL"/>
              </w:rPr>
            </w:pPr>
            <w:r w:rsidRPr="00CC4644">
              <w:rPr>
                <w:rFonts w:ascii="Calibri" w:eastAsia="Times New Roman" w:hAnsi="Calibri" w:cs="Times New Roman"/>
                <w:color w:val="000000"/>
                <w:sz w:val="20"/>
                <w:lang w:eastAsia="pl-PL"/>
              </w:rPr>
              <w:t>358</w:t>
            </w:r>
          </w:p>
        </w:tc>
      </w:tr>
      <w:tr w:rsidR="00CC4644" w:rsidRPr="00CC4644" w:rsidTr="00CC4644">
        <w:trPr>
          <w:trHeight w:val="321"/>
          <w:jc w:val="center"/>
        </w:trPr>
        <w:tc>
          <w:tcPr>
            <w:tcW w:w="5488" w:type="dxa"/>
            <w:vAlign w:val="center"/>
          </w:tcPr>
          <w:p w:rsidR="00CC4644" w:rsidRPr="00CC4644" w:rsidRDefault="00CC4644" w:rsidP="00D740E7">
            <w:pPr>
              <w:spacing w:after="0"/>
              <w:jc w:val="left"/>
              <w:rPr>
                <w:rFonts w:ascii="Calibri" w:eastAsia="Times New Roman" w:hAnsi="Calibri" w:cs="Times New Roman"/>
                <w:b/>
                <w:color w:val="000000"/>
                <w:sz w:val="20"/>
                <w:lang w:eastAsia="pl-PL"/>
              </w:rPr>
            </w:pPr>
            <w:r w:rsidRPr="00CC4644">
              <w:rPr>
                <w:rFonts w:ascii="Calibri" w:eastAsia="Times New Roman" w:hAnsi="Calibri" w:cs="Times New Roman"/>
                <w:color w:val="000000"/>
                <w:sz w:val="20"/>
                <w:lang w:eastAsia="pl-PL"/>
              </w:rPr>
              <w:t>Interwencje, w trakcie których stwierdzono przemoc w rodzinie</w:t>
            </w:r>
          </w:p>
        </w:tc>
        <w:tc>
          <w:tcPr>
            <w:tcW w:w="1130" w:type="dxa"/>
            <w:vAlign w:val="center"/>
          </w:tcPr>
          <w:p w:rsidR="00CC4644" w:rsidRPr="00CC4644" w:rsidRDefault="00CC4644" w:rsidP="00D740E7">
            <w:pPr>
              <w:spacing w:after="0"/>
              <w:jc w:val="center"/>
              <w:rPr>
                <w:rFonts w:ascii="Calibri" w:eastAsia="Times New Roman" w:hAnsi="Calibri" w:cs="Times New Roman"/>
                <w:color w:val="000000"/>
                <w:sz w:val="20"/>
                <w:lang w:eastAsia="pl-PL"/>
              </w:rPr>
            </w:pPr>
            <w:r w:rsidRPr="00CC4644">
              <w:rPr>
                <w:rFonts w:ascii="Calibri" w:eastAsia="Times New Roman" w:hAnsi="Calibri" w:cs="Times New Roman"/>
                <w:color w:val="000000"/>
                <w:sz w:val="20"/>
                <w:lang w:eastAsia="pl-PL"/>
              </w:rPr>
              <w:t>71</w:t>
            </w:r>
          </w:p>
        </w:tc>
        <w:tc>
          <w:tcPr>
            <w:tcW w:w="1175" w:type="dxa"/>
            <w:noWrap/>
            <w:vAlign w:val="center"/>
          </w:tcPr>
          <w:p w:rsidR="00CC4644" w:rsidRPr="00CC4644" w:rsidRDefault="00CC4644" w:rsidP="00D740E7">
            <w:pPr>
              <w:spacing w:after="0"/>
              <w:jc w:val="center"/>
              <w:rPr>
                <w:rFonts w:ascii="Calibri" w:eastAsia="Times New Roman" w:hAnsi="Calibri" w:cs="Times New Roman"/>
                <w:color w:val="000000"/>
                <w:sz w:val="20"/>
                <w:lang w:eastAsia="pl-PL"/>
              </w:rPr>
            </w:pPr>
            <w:r w:rsidRPr="00CC4644">
              <w:rPr>
                <w:rFonts w:ascii="Calibri" w:eastAsia="Times New Roman" w:hAnsi="Calibri" w:cs="Times New Roman"/>
                <w:color w:val="000000"/>
                <w:sz w:val="20"/>
                <w:lang w:eastAsia="pl-PL"/>
              </w:rPr>
              <w:t>67</w:t>
            </w:r>
          </w:p>
        </w:tc>
        <w:tc>
          <w:tcPr>
            <w:tcW w:w="1067" w:type="dxa"/>
            <w:noWrap/>
            <w:vAlign w:val="center"/>
          </w:tcPr>
          <w:p w:rsidR="00CC4644" w:rsidRPr="00CC4644" w:rsidRDefault="00CC4644" w:rsidP="00D740E7">
            <w:pPr>
              <w:spacing w:after="0"/>
              <w:jc w:val="center"/>
              <w:rPr>
                <w:rFonts w:ascii="Calibri" w:eastAsia="Times New Roman" w:hAnsi="Calibri" w:cs="Times New Roman"/>
                <w:color w:val="000000"/>
                <w:sz w:val="20"/>
                <w:lang w:eastAsia="pl-PL"/>
              </w:rPr>
            </w:pPr>
            <w:r w:rsidRPr="00CC4644">
              <w:rPr>
                <w:rFonts w:ascii="Calibri" w:eastAsia="Times New Roman" w:hAnsi="Calibri" w:cs="Times New Roman"/>
                <w:color w:val="000000"/>
                <w:sz w:val="20"/>
                <w:lang w:eastAsia="pl-PL"/>
              </w:rPr>
              <w:t>85</w:t>
            </w:r>
          </w:p>
        </w:tc>
      </w:tr>
      <w:tr w:rsidR="00CC4644" w:rsidRPr="00CC4644" w:rsidTr="00CC4644">
        <w:trPr>
          <w:trHeight w:val="321"/>
          <w:jc w:val="center"/>
        </w:trPr>
        <w:tc>
          <w:tcPr>
            <w:tcW w:w="5488" w:type="dxa"/>
            <w:vAlign w:val="center"/>
          </w:tcPr>
          <w:p w:rsidR="00CC4644" w:rsidRPr="00CC4644" w:rsidRDefault="00CC4644" w:rsidP="00D740E7">
            <w:pPr>
              <w:spacing w:after="0"/>
              <w:jc w:val="left"/>
              <w:rPr>
                <w:rFonts w:ascii="Calibri" w:eastAsia="Times New Roman" w:hAnsi="Calibri" w:cs="Times New Roman"/>
                <w:b/>
                <w:color w:val="000000"/>
                <w:sz w:val="20"/>
                <w:lang w:eastAsia="pl-PL"/>
              </w:rPr>
            </w:pPr>
            <w:r w:rsidRPr="00CC4644">
              <w:rPr>
                <w:rFonts w:ascii="Calibri" w:eastAsia="Times New Roman" w:hAnsi="Calibri" w:cs="Times New Roman"/>
                <w:color w:val="000000"/>
                <w:sz w:val="20"/>
                <w:lang w:eastAsia="pl-PL"/>
              </w:rPr>
              <w:t>Osoby pokrzywdzone w wyniku stosowania przemocy</w:t>
            </w:r>
          </w:p>
        </w:tc>
        <w:tc>
          <w:tcPr>
            <w:tcW w:w="1130" w:type="dxa"/>
            <w:vAlign w:val="center"/>
          </w:tcPr>
          <w:p w:rsidR="00CC4644" w:rsidRPr="00CC4644" w:rsidRDefault="00CC4644" w:rsidP="00D740E7">
            <w:pPr>
              <w:spacing w:after="0"/>
              <w:jc w:val="center"/>
              <w:rPr>
                <w:rFonts w:ascii="Calibri" w:eastAsia="Times New Roman" w:hAnsi="Calibri" w:cs="Times New Roman"/>
                <w:color w:val="000000"/>
                <w:sz w:val="20"/>
                <w:lang w:eastAsia="pl-PL"/>
              </w:rPr>
            </w:pPr>
            <w:r w:rsidRPr="00CC4644">
              <w:rPr>
                <w:rFonts w:ascii="Calibri" w:eastAsia="Times New Roman" w:hAnsi="Calibri" w:cs="Times New Roman"/>
                <w:color w:val="000000"/>
                <w:sz w:val="20"/>
                <w:lang w:eastAsia="pl-PL"/>
              </w:rPr>
              <w:t>82</w:t>
            </w:r>
          </w:p>
        </w:tc>
        <w:tc>
          <w:tcPr>
            <w:tcW w:w="1175" w:type="dxa"/>
            <w:noWrap/>
            <w:vAlign w:val="center"/>
          </w:tcPr>
          <w:p w:rsidR="00CC4644" w:rsidRPr="00CC4644" w:rsidRDefault="00CC4644" w:rsidP="00D740E7">
            <w:pPr>
              <w:spacing w:after="0"/>
              <w:jc w:val="center"/>
              <w:rPr>
                <w:rFonts w:ascii="Calibri" w:eastAsia="Times New Roman" w:hAnsi="Calibri" w:cs="Times New Roman"/>
                <w:color w:val="000000"/>
                <w:sz w:val="20"/>
                <w:lang w:eastAsia="pl-PL"/>
              </w:rPr>
            </w:pPr>
            <w:r w:rsidRPr="00CC4644">
              <w:rPr>
                <w:rFonts w:ascii="Calibri" w:eastAsia="Times New Roman" w:hAnsi="Calibri" w:cs="Times New Roman"/>
                <w:color w:val="000000"/>
                <w:sz w:val="20"/>
                <w:lang w:eastAsia="pl-PL"/>
              </w:rPr>
              <w:t>73</w:t>
            </w:r>
          </w:p>
        </w:tc>
        <w:tc>
          <w:tcPr>
            <w:tcW w:w="1067" w:type="dxa"/>
            <w:noWrap/>
            <w:vAlign w:val="center"/>
          </w:tcPr>
          <w:p w:rsidR="00CC4644" w:rsidRPr="00CC4644" w:rsidRDefault="00CC4644" w:rsidP="00D740E7">
            <w:pPr>
              <w:spacing w:after="0"/>
              <w:jc w:val="center"/>
              <w:rPr>
                <w:rFonts w:ascii="Calibri" w:eastAsia="Times New Roman" w:hAnsi="Calibri" w:cs="Times New Roman"/>
                <w:color w:val="000000"/>
                <w:sz w:val="20"/>
                <w:lang w:eastAsia="pl-PL"/>
              </w:rPr>
            </w:pPr>
            <w:r w:rsidRPr="00CC4644">
              <w:rPr>
                <w:rFonts w:ascii="Calibri" w:eastAsia="Times New Roman" w:hAnsi="Calibri" w:cs="Times New Roman"/>
                <w:color w:val="000000"/>
                <w:sz w:val="20"/>
                <w:lang w:eastAsia="pl-PL"/>
              </w:rPr>
              <w:t>98</w:t>
            </w:r>
          </w:p>
        </w:tc>
      </w:tr>
      <w:tr w:rsidR="00CC4644" w:rsidRPr="00CC4644" w:rsidTr="00CC4644">
        <w:trPr>
          <w:trHeight w:val="321"/>
          <w:jc w:val="center"/>
        </w:trPr>
        <w:tc>
          <w:tcPr>
            <w:tcW w:w="5488" w:type="dxa"/>
            <w:vAlign w:val="center"/>
          </w:tcPr>
          <w:p w:rsidR="00CC4644" w:rsidRPr="00CC4644" w:rsidRDefault="00CC4644" w:rsidP="00D740E7">
            <w:pPr>
              <w:spacing w:after="0"/>
              <w:jc w:val="left"/>
              <w:rPr>
                <w:rFonts w:ascii="Calibri" w:eastAsia="Times New Roman" w:hAnsi="Calibri" w:cs="Times New Roman"/>
                <w:b/>
                <w:color w:val="000000"/>
                <w:sz w:val="20"/>
                <w:lang w:eastAsia="pl-PL"/>
              </w:rPr>
            </w:pPr>
            <w:r w:rsidRPr="00CC4644">
              <w:rPr>
                <w:rFonts w:ascii="Calibri" w:eastAsia="Times New Roman" w:hAnsi="Calibri" w:cs="Times New Roman"/>
                <w:color w:val="000000"/>
                <w:sz w:val="20"/>
                <w:lang w:eastAsia="pl-PL"/>
              </w:rPr>
              <w:t>Liczba ujawnionych sprawców przemocy</w:t>
            </w:r>
          </w:p>
        </w:tc>
        <w:tc>
          <w:tcPr>
            <w:tcW w:w="1130" w:type="dxa"/>
            <w:vAlign w:val="center"/>
          </w:tcPr>
          <w:p w:rsidR="00CC4644" w:rsidRPr="00CC4644" w:rsidRDefault="00CC4644" w:rsidP="00D740E7">
            <w:pPr>
              <w:spacing w:after="0"/>
              <w:jc w:val="center"/>
              <w:rPr>
                <w:rFonts w:ascii="Calibri" w:eastAsia="Times New Roman" w:hAnsi="Calibri" w:cs="Times New Roman"/>
                <w:color w:val="000000"/>
                <w:sz w:val="20"/>
                <w:lang w:eastAsia="pl-PL"/>
              </w:rPr>
            </w:pPr>
            <w:r w:rsidRPr="00CC4644">
              <w:rPr>
                <w:rFonts w:ascii="Calibri" w:eastAsia="Times New Roman" w:hAnsi="Calibri" w:cs="Times New Roman"/>
                <w:color w:val="000000"/>
                <w:sz w:val="20"/>
                <w:lang w:eastAsia="pl-PL"/>
              </w:rPr>
              <w:t>71</w:t>
            </w:r>
          </w:p>
        </w:tc>
        <w:tc>
          <w:tcPr>
            <w:tcW w:w="1175" w:type="dxa"/>
            <w:noWrap/>
            <w:vAlign w:val="center"/>
          </w:tcPr>
          <w:p w:rsidR="00CC4644" w:rsidRPr="00CC4644" w:rsidRDefault="00CC4644" w:rsidP="00D740E7">
            <w:pPr>
              <w:spacing w:after="0"/>
              <w:jc w:val="center"/>
              <w:rPr>
                <w:rFonts w:ascii="Calibri" w:eastAsia="Times New Roman" w:hAnsi="Calibri" w:cs="Times New Roman"/>
                <w:color w:val="000000"/>
                <w:sz w:val="20"/>
                <w:lang w:eastAsia="pl-PL"/>
              </w:rPr>
            </w:pPr>
            <w:r w:rsidRPr="00CC4644">
              <w:rPr>
                <w:rFonts w:ascii="Calibri" w:eastAsia="Times New Roman" w:hAnsi="Calibri" w:cs="Times New Roman"/>
                <w:color w:val="000000"/>
                <w:sz w:val="20"/>
                <w:lang w:eastAsia="pl-PL"/>
              </w:rPr>
              <w:t>67</w:t>
            </w:r>
          </w:p>
        </w:tc>
        <w:tc>
          <w:tcPr>
            <w:tcW w:w="1067" w:type="dxa"/>
            <w:noWrap/>
            <w:vAlign w:val="center"/>
          </w:tcPr>
          <w:p w:rsidR="00CC4644" w:rsidRPr="00CC4644" w:rsidRDefault="00CC4644" w:rsidP="00D740E7">
            <w:pPr>
              <w:spacing w:after="0"/>
              <w:jc w:val="center"/>
              <w:rPr>
                <w:rFonts w:ascii="Calibri" w:eastAsia="Times New Roman" w:hAnsi="Calibri" w:cs="Times New Roman"/>
                <w:color w:val="000000"/>
                <w:sz w:val="20"/>
                <w:lang w:eastAsia="pl-PL"/>
              </w:rPr>
            </w:pPr>
            <w:r w:rsidRPr="00CC4644">
              <w:rPr>
                <w:rFonts w:ascii="Calibri" w:eastAsia="Times New Roman" w:hAnsi="Calibri" w:cs="Times New Roman"/>
                <w:color w:val="000000"/>
                <w:sz w:val="20"/>
                <w:lang w:eastAsia="pl-PL"/>
              </w:rPr>
              <w:t>85</w:t>
            </w:r>
          </w:p>
        </w:tc>
      </w:tr>
      <w:tr w:rsidR="00CC4644" w:rsidRPr="00CC4644" w:rsidTr="00CC4644">
        <w:trPr>
          <w:trHeight w:val="321"/>
          <w:jc w:val="center"/>
        </w:trPr>
        <w:tc>
          <w:tcPr>
            <w:tcW w:w="5488" w:type="dxa"/>
            <w:vAlign w:val="center"/>
          </w:tcPr>
          <w:p w:rsidR="00CC4644" w:rsidRPr="00CC4644" w:rsidRDefault="00CC4644" w:rsidP="00D740E7">
            <w:pPr>
              <w:spacing w:after="0"/>
              <w:jc w:val="left"/>
              <w:rPr>
                <w:rFonts w:ascii="Calibri" w:eastAsia="Times New Roman" w:hAnsi="Calibri" w:cs="Times New Roman"/>
                <w:b/>
                <w:color w:val="000000"/>
                <w:sz w:val="20"/>
                <w:lang w:eastAsia="pl-PL"/>
              </w:rPr>
            </w:pPr>
            <w:r w:rsidRPr="00CC4644">
              <w:rPr>
                <w:rFonts w:ascii="Calibri" w:eastAsia="Times New Roman" w:hAnsi="Calibri" w:cs="Times New Roman"/>
                <w:color w:val="000000"/>
                <w:sz w:val="20"/>
                <w:lang w:eastAsia="pl-PL"/>
              </w:rPr>
              <w:t>Sprawcy przemocy pod wpływem alkoholu</w:t>
            </w:r>
          </w:p>
        </w:tc>
        <w:tc>
          <w:tcPr>
            <w:tcW w:w="1130" w:type="dxa"/>
            <w:vAlign w:val="center"/>
          </w:tcPr>
          <w:p w:rsidR="00CC4644" w:rsidRPr="00CC4644" w:rsidRDefault="00CC4644" w:rsidP="00D740E7">
            <w:pPr>
              <w:spacing w:after="0"/>
              <w:jc w:val="center"/>
              <w:rPr>
                <w:rFonts w:ascii="Calibri" w:eastAsia="Times New Roman" w:hAnsi="Calibri" w:cs="Times New Roman"/>
                <w:color w:val="000000"/>
                <w:sz w:val="20"/>
                <w:lang w:eastAsia="pl-PL"/>
              </w:rPr>
            </w:pPr>
            <w:r w:rsidRPr="00CC4644">
              <w:rPr>
                <w:rFonts w:ascii="Calibri" w:eastAsia="Times New Roman" w:hAnsi="Calibri" w:cs="Times New Roman"/>
                <w:color w:val="000000"/>
                <w:sz w:val="20"/>
                <w:lang w:eastAsia="pl-PL"/>
              </w:rPr>
              <w:t>66</w:t>
            </w:r>
          </w:p>
        </w:tc>
        <w:tc>
          <w:tcPr>
            <w:tcW w:w="1175" w:type="dxa"/>
            <w:noWrap/>
            <w:vAlign w:val="center"/>
          </w:tcPr>
          <w:p w:rsidR="00CC4644" w:rsidRPr="00CC4644" w:rsidRDefault="00CC4644" w:rsidP="00D740E7">
            <w:pPr>
              <w:spacing w:after="0"/>
              <w:jc w:val="center"/>
              <w:rPr>
                <w:rFonts w:ascii="Calibri" w:eastAsia="Times New Roman" w:hAnsi="Calibri" w:cs="Times New Roman"/>
                <w:color w:val="000000"/>
                <w:sz w:val="20"/>
                <w:lang w:eastAsia="pl-PL"/>
              </w:rPr>
            </w:pPr>
            <w:r w:rsidRPr="00CC4644">
              <w:rPr>
                <w:rFonts w:ascii="Calibri" w:eastAsia="Times New Roman" w:hAnsi="Calibri" w:cs="Times New Roman"/>
                <w:color w:val="000000"/>
                <w:sz w:val="20"/>
                <w:lang w:eastAsia="pl-PL"/>
              </w:rPr>
              <w:t>53</w:t>
            </w:r>
          </w:p>
        </w:tc>
        <w:tc>
          <w:tcPr>
            <w:tcW w:w="1067" w:type="dxa"/>
            <w:noWrap/>
            <w:vAlign w:val="center"/>
          </w:tcPr>
          <w:p w:rsidR="00CC4644" w:rsidRPr="00CC4644" w:rsidRDefault="00CC4644" w:rsidP="00D740E7">
            <w:pPr>
              <w:spacing w:after="0"/>
              <w:jc w:val="center"/>
              <w:rPr>
                <w:rFonts w:ascii="Calibri" w:eastAsia="Times New Roman" w:hAnsi="Calibri" w:cs="Times New Roman"/>
                <w:color w:val="000000"/>
                <w:sz w:val="20"/>
                <w:lang w:eastAsia="pl-PL"/>
              </w:rPr>
            </w:pPr>
            <w:r w:rsidRPr="00CC4644">
              <w:rPr>
                <w:rFonts w:ascii="Calibri" w:eastAsia="Times New Roman" w:hAnsi="Calibri" w:cs="Times New Roman"/>
                <w:color w:val="000000"/>
                <w:sz w:val="20"/>
                <w:lang w:eastAsia="pl-PL"/>
              </w:rPr>
              <w:t>56</w:t>
            </w:r>
          </w:p>
        </w:tc>
      </w:tr>
      <w:tr w:rsidR="00CC4644" w:rsidRPr="00CC4644" w:rsidTr="00CC4644">
        <w:trPr>
          <w:trHeight w:val="321"/>
          <w:jc w:val="center"/>
        </w:trPr>
        <w:tc>
          <w:tcPr>
            <w:tcW w:w="5488" w:type="dxa"/>
            <w:vAlign w:val="center"/>
          </w:tcPr>
          <w:p w:rsidR="00CC4644" w:rsidRPr="00CC4644" w:rsidRDefault="00CC4644" w:rsidP="00D740E7">
            <w:pPr>
              <w:spacing w:after="0"/>
              <w:jc w:val="left"/>
              <w:rPr>
                <w:rFonts w:ascii="Calibri" w:eastAsia="Times New Roman" w:hAnsi="Calibri" w:cs="Times New Roman"/>
                <w:b/>
                <w:color w:val="000000"/>
                <w:sz w:val="20"/>
                <w:lang w:eastAsia="pl-PL"/>
              </w:rPr>
            </w:pPr>
            <w:r w:rsidRPr="00CC4644">
              <w:rPr>
                <w:rFonts w:ascii="Calibri" w:eastAsia="Times New Roman" w:hAnsi="Calibri" w:cs="Times New Roman"/>
                <w:color w:val="000000"/>
                <w:sz w:val="20"/>
                <w:lang w:eastAsia="pl-PL"/>
              </w:rPr>
              <w:t xml:space="preserve">Liczba przypadków znęcania się nad rodziną (art. 207 </w:t>
            </w:r>
            <w:r w:rsidRPr="00CC4644">
              <w:rPr>
                <w:rFonts w:ascii="Calibri" w:eastAsia="Times New Roman" w:hAnsi="Calibri" w:cs="Calibri"/>
                <w:color w:val="000000"/>
                <w:sz w:val="20"/>
                <w:lang w:eastAsia="pl-PL"/>
              </w:rPr>
              <w:t>§</w:t>
            </w:r>
            <w:r w:rsidRPr="00CC4644">
              <w:rPr>
                <w:rFonts w:ascii="Calibri" w:eastAsia="Times New Roman" w:hAnsi="Calibri" w:cs="Times New Roman"/>
                <w:color w:val="000000"/>
                <w:sz w:val="20"/>
                <w:lang w:eastAsia="pl-PL"/>
              </w:rPr>
              <w:t xml:space="preserve"> 1 KK)</w:t>
            </w:r>
          </w:p>
        </w:tc>
        <w:tc>
          <w:tcPr>
            <w:tcW w:w="1130" w:type="dxa"/>
            <w:vAlign w:val="center"/>
          </w:tcPr>
          <w:p w:rsidR="00CC4644" w:rsidRPr="00CC4644" w:rsidRDefault="00CC4644" w:rsidP="00D740E7">
            <w:pPr>
              <w:spacing w:after="0"/>
              <w:jc w:val="center"/>
              <w:rPr>
                <w:rFonts w:ascii="Calibri" w:eastAsia="Times New Roman" w:hAnsi="Calibri" w:cs="Times New Roman"/>
                <w:color w:val="000000"/>
                <w:sz w:val="20"/>
                <w:lang w:eastAsia="pl-PL"/>
              </w:rPr>
            </w:pPr>
            <w:r w:rsidRPr="00CC4644">
              <w:rPr>
                <w:rFonts w:ascii="Calibri" w:eastAsia="Times New Roman" w:hAnsi="Calibri" w:cs="Times New Roman"/>
                <w:color w:val="000000"/>
                <w:sz w:val="20"/>
                <w:lang w:eastAsia="pl-PL"/>
              </w:rPr>
              <w:t>31</w:t>
            </w:r>
          </w:p>
        </w:tc>
        <w:tc>
          <w:tcPr>
            <w:tcW w:w="1175" w:type="dxa"/>
            <w:noWrap/>
            <w:vAlign w:val="center"/>
          </w:tcPr>
          <w:p w:rsidR="00CC4644" w:rsidRPr="00CC4644" w:rsidRDefault="00CC4644" w:rsidP="00D740E7">
            <w:pPr>
              <w:spacing w:after="0"/>
              <w:jc w:val="center"/>
              <w:rPr>
                <w:rFonts w:ascii="Calibri" w:eastAsia="Times New Roman" w:hAnsi="Calibri" w:cs="Times New Roman"/>
                <w:color w:val="000000"/>
                <w:sz w:val="20"/>
                <w:lang w:eastAsia="pl-PL"/>
              </w:rPr>
            </w:pPr>
            <w:r w:rsidRPr="00CC4644">
              <w:rPr>
                <w:rFonts w:ascii="Calibri" w:eastAsia="Times New Roman" w:hAnsi="Calibri" w:cs="Times New Roman"/>
                <w:color w:val="000000"/>
                <w:sz w:val="20"/>
                <w:lang w:eastAsia="pl-PL"/>
              </w:rPr>
              <w:t>37</w:t>
            </w:r>
          </w:p>
        </w:tc>
        <w:tc>
          <w:tcPr>
            <w:tcW w:w="1067" w:type="dxa"/>
            <w:noWrap/>
            <w:vAlign w:val="center"/>
          </w:tcPr>
          <w:p w:rsidR="00CC4644" w:rsidRPr="00CC4644" w:rsidRDefault="00CC4644" w:rsidP="00D740E7">
            <w:pPr>
              <w:spacing w:after="0"/>
              <w:jc w:val="center"/>
              <w:rPr>
                <w:rFonts w:ascii="Calibri" w:eastAsia="Times New Roman" w:hAnsi="Calibri" w:cs="Times New Roman"/>
                <w:color w:val="000000"/>
                <w:sz w:val="20"/>
                <w:lang w:eastAsia="pl-PL"/>
              </w:rPr>
            </w:pPr>
            <w:r w:rsidRPr="00CC4644">
              <w:rPr>
                <w:rFonts w:ascii="Calibri" w:eastAsia="Times New Roman" w:hAnsi="Calibri" w:cs="Times New Roman"/>
                <w:color w:val="000000"/>
                <w:sz w:val="20"/>
                <w:lang w:eastAsia="pl-PL"/>
              </w:rPr>
              <w:t>55</w:t>
            </w:r>
          </w:p>
        </w:tc>
      </w:tr>
    </w:tbl>
    <w:p w:rsidR="00CC4644" w:rsidRPr="00CC4644" w:rsidRDefault="00CC4644" w:rsidP="00CC4644">
      <w:pPr>
        <w:pStyle w:val="Legenda"/>
        <w:spacing w:before="120" w:after="120"/>
        <w:rPr>
          <w:rStyle w:val="Odwoaniedelikatne"/>
          <w:i w:val="0"/>
        </w:rPr>
      </w:pPr>
      <w:r w:rsidRPr="00CC4644">
        <w:rPr>
          <w:rStyle w:val="Odwoaniedelikatne"/>
          <w:i w:val="0"/>
        </w:rPr>
        <w:t>Źródło: opracowanie własne na podstawie danych Komendy Powiatowej Policji w Lidzbarku Warmińskim.</w:t>
      </w:r>
    </w:p>
    <w:p w:rsidR="00CC4644" w:rsidRPr="00F830F6" w:rsidRDefault="00CC4644" w:rsidP="007B5626">
      <w:r w:rsidRPr="00F830F6">
        <w:t>W latach 2018-2020 policja ujawniła</w:t>
      </w:r>
      <w:r w:rsidR="00F830F6" w:rsidRPr="00F830F6">
        <w:t xml:space="preserve"> łącznie</w:t>
      </w:r>
      <w:r w:rsidRPr="00F830F6">
        <w:t xml:space="preserve"> 223 sprawców przemocy, spośród których </w:t>
      </w:r>
      <w:r w:rsidR="00A258DD">
        <w:t xml:space="preserve">                    </w:t>
      </w:r>
      <w:r w:rsidRPr="00F830F6">
        <w:t xml:space="preserve">175 </w:t>
      </w:r>
      <w:r w:rsidR="00F830F6" w:rsidRPr="00F830F6">
        <w:t>było</w:t>
      </w:r>
      <w:r w:rsidRPr="00F830F6">
        <w:t xml:space="preserve"> pod wpływem alkoholu. W analizowanym okresie</w:t>
      </w:r>
      <w:r w:rsidR="00F830F6" w:rsidRPr="00F830F6">
        <w:t xml:space="preserve"> liczba sprawców zwiększyła się </w:t>
      </w:r>
      <w:r w:rsidR="00A258DD">
        <w:t xml:space="preserve">                 </w:t>
      </w:r>
      <w:r w:rsidR="00F830F6" w:rsidRPr="00F830F6">
        <w:t>o 14, natomiast liczba osób pokrzywdzonych w wyniku stosowania przemocy wzrosła o 16. W 2020 roku</w:t>
      </w:r>
      <w:r w:rsidR="00A258DD">
        <w:t xml:space="preserve"> </w:t>
      </w:r>
      <w:r w:rsidR="00F830F6" w:rsidRPr="00F830F6">
        <w:t>o</w:t>
      </w:r>
      <w:r w:rsidRPr="00F830F6">
        <w:t xml:space="preserve">dnotowano </w:t>
      </w:r>
      <w:r w:rsidR="00F830F6" w:rsidRPr="00F830F6">
        <w:t>55</w:t>
      </w:r>
      <w:r w:rsidRPr="00F830F6">
        <w:t xml:space="preserve"> przypadków znęcania się nad rodziną (art. 207 </w:t>
      </w:r>
      <w:r w:rsidRPr="00F830F6">
        <w:rPr>
          <w:rFonts w:cstheme="minorHAnsi"/>
        </w:rPr>
        <w:t>§</w:t>
      </w:r>
      <w:r w:rsidRPr="00F830F6">
        <w:t xml:space="preserve"> 1 KK) –</w:t>
      </w:r>
      <w:r w:rsidR="00A258DD">
        <w:t xml:space="preserve">                            </w:t>
      </w:r>
      <w:r w:rsidRPr="00F830F6">
        <w:t xml:space="preserve"> o </w:t>
      </w:r>
      <w:r w:rsidR="00F830F6" w:rsidRPr="00F830F6">
        <w:t>24</w:t>
      </w:r>
      <w:r w:rsidR="00A258DD">
        <w:t xml:space="preserve"> </w:t>
      </w:r>
      <w:r w:rsidR="00F830F6" w:rsidRPr="00F830F6">
        <w:t>więcej</w:t>
      </w:r>
      <w:r w:rsidRPr="00F830F6">
        <w:t xml:space="preserve"> niż w 201</w:t>
      </w:r>
      <w:r w:rsidR="00F830F6" w:rsidRPr="00F830F6">
        <w:t>8</w:t>
      </w:r>
      <w:r w:rsidRPr="00F830F6">
        <w:t xml:space="preserve"> roku. </w:t>
      </w:r>
    </w:p>
    <w:p w:rsidR="007B5626" w:rsidRDefault="004935ED" w:rsidP="007B5626">
      <w:r w:rsidRPr="00C86258">
        <w:t xml:space="preserve">Powyższe informacje mogą wskazywać na przybliżoną skalę zjawiska przemocy w rodzinie </w:t>
      </w:r>
      <w:r w:rsidR="00F830F6">
        <w:br/>
      </w:r>
      <w:r w:rsidRPr="00C86258">
        <w:t xml:space="preserve">w </w:t>
      </w:r>
      <w:r w:rsidR="00774626" w:rsidRPr="00C86258">
        <w:t>powiecie lidzbarskim</w:t>
      </w:r>
      <w:r w:rsidRPr="00C86258">
        <w:t xml:space="preserve">. Należy jednak pamiętać, że dane pochodzące ze sprawozdań instytucji dotyczą rodzin, w </w:t>
      </w:r>
      <w:r w:rsidR="00774626" w:rsidRPr="00C86258">
        <w:t>których problem ten stwierdzono.</w:t>
      </w:r>
      <w:r w:rsidRPr="00C86258">
        <w:t xml:space="preserve"> Niemniej jednak zagrożeni przemocą w rodzinie teoretycznie są wszyscy mieszkańcy</w:t>
      </w:r>
      <w:r w:rsidR="00774626" w:rsidRPr="00C86258">
        <w:t xml:space="preserve"> powiatu</w:t>
      </w:r>
      <w:r w:rsidRPr="00C86258">
        <w:t xml:space="preserve"> – ze względu na dynamikę ich sytuacji rodzinnej, społecznej</w:t>
      </w:r>
      <w:r w:rsidR="00A258DD">
        <w:t>, ekonomicznej</w:t>
      </w:r>
      <w:r w:rsidRPr="00C86258">
        <w:t xml:space="preserve"> czy zawodowej</w:t>
      </w:r>
      <w:r w:rsidR="00227E0F" w:rsidRPr="00C86258">
        <w:t>, a także zmienność otoczenia</w:t>
      </w:r>
      <w:r w:rsidR="00A258DD">
        <w:t>, w dużej mierze wywołana skutkami trwającej pandemii COVID-19.</w:t>
      </w:r>
    </w:p>
    <w:p w:rsidR="00CC4644" w:rsidRDefault="00CC4644" w:rsidP="007B5626"/>
    <w:p w:rsidR="00CC4644" w:rsidRDefault="00CC4644" w:rsidP="007B5626"/>
    <w:p w:rsidR="00CC4644" w:rsidRPr="00C86258" w:rsidRDefault="00F830F6" w:rsidP="00F830F6">
      <w:pPr>
        <w:spacing w:after="0"/>
        <w:jc w:val="left"/>
      </w:pPr>
      <w:r>
        <w:br w:type="page"/>
      </w:r>
    </w:p>
    <w:p w:rsidR="00227E0F" w:rsidRPr="00CE226C" w:rsidRDefault="00A51FFB" w:rsidP="00A51FFB">
      <w:pPr>
        <w:pStyle w:val="Nagwek1"/>
        <w:numPr>
          <w:ilvl w:val="0"/>
          <w:numId w:val="24"/>
        </w:numPr>
        <w:ind w:left="284" w:hanging="284"/>
        <w:jc w:val="both"/>
      </w:pPr>
      <w:bookmarkStart w:id="10" w:name="_Toc86158834"/>
      <w:bookmarkEnd w:id="9"/>
      <w:r w:rsidRPr="00CE226C">
        <w:rPr>
          <w:rStyle w:val="Nagwek1Znak"/>
          <w:b/>
        </w:rPr>
        <w:lastRenderedPageBreak/>
        <w:t>Adresaci i realizatorzy Programu</w:t>
      </w:r>
      <w:bookmarkEnd w:id="10"/>
    </w:p>
    <w:p w:rsidR="00A51FFB" w:rsidRDefault="00A51FFB" w:rsidP="005C5830">
      <w:pPr>
        <w:spacing w:after="60"/>
      </w:pPr>
      <w:r w:rsidRPr="00936640">
        <w:rPr>
          <w:i/>
          <w:iCs/>
        </w:rPr>
        <w:t xml:space="preserve">Powiatowy Program Przeciwdziałania Przemocy w Rodzinie oraz Ochrony Ofiar Przemocy </w:t>
      </w:r>
      <w:r w:rsidR="00F830F6">
        <w:rPr>
          <w:i/>
          <w:iCs/>
        </w:rPr>
        <w:br/>
      </w:r>
      <w:r w:rsidRPr="00936640">
        <w:rPr>
          <w:i/>
          <w:iCs/>
        </w:rPr>
        <w:t>w Rodzinie na lata 2022-2026</w:t>
      </w:r>
      <w:r w:rsidR="00A258DD">
        <w:rPr>
          <w:i/>
          <w:iCs/>
        </w:rPr>
        <w:t xml:space="preserve"> </w:t>
      </w:r>
      <w:r w:rsidRPr="00A51FFB">
        <w:t xml:space="preserve">adresowany jest </w:t>
      </w:r>
      <w:r>
        <w:t xml:space="preserve">przede wszystkim </w:t>
      </w:r>
      <w:r w:rsidRPr="00A51FFB">
        <w:t>do</w:t>
      </w:r>
      <w:r>
        <w:t>:</w:t>
      </w:r>
    </w:p>
    <w:p w:rsidR="00DE13D0" w:rsidRDefault="00A51FFB" w:rsidP="00DE13D0">
      <w:pPr>
        <w:numPr>
          <w:ilvl w:val="0"/>
          <w:numId w:val="32"/>
        </w:numPr>
        <w:spacing w:after="60"/>
        <w:ind w:left="567" w:hanging="283"/>
      </w:pPr>
      <w:r>
        <w:t xml:space="preserve">osób dotkniętych przemocą w rodzinie, w tym kobiet, mężczyzn, dzieci, osób starszych, osób z </w:t>
      </w:r>
      <w:proofErr w:type="spellStart"/>
      <w:r>
        <w:t>niepełnosprawnościami</w:t>
      </w:r>
      <w:proofErr w:type="spellEnd"/>
      <w:r>
        <w:t xml:space="preserve"> i </w:t>
      </w:r>
      <w:r w:rsidR="00A258DD">
        <w:t>osób niesamodzielnych</w:t>
      </w:r>
      <w:r>
        <w:t>;</w:t>
      </w:r>
    </w:p>
    <w:p w:rsidR="00DE13D0" w:rsidRDefault="00A51FFB" w:rsidP="00DE13D0">
      <w:pPr>
        <w:numPr>
          <w:ilvl w:val="0"/>
          <w:numId w:val="32"/>
        </w:numPr>
        <w:spacing w:after="60"/>
        <w:ind w:left="567" w:hanging="283"/>
      </w:pPr>
      <w:r>
        <w:t>osób stosujących przemoc w rodzinie;</w:t>
      </w:r>
    </w:p>
    <w:p w:rsidR="00DE13D0" w:rsidRDefault="00A51FFB" w:rsidP="00DE13D0">
      <w:pPr>
        <w:numPr>
          <w:ilvl w:val="0"/>
          <w:numId w:val="32"/>
        </w:numPr>
        <w:spacing w:after="60"/>
        <w:ind w:left="567" w:hanging="283"/>
      </w:pPr>
      <w:r w:rsidRPr="00CE226C">
        <w:t>ogółu społeczeństwa, w tym osób szczególnie zagrożonych</w:t>
      </w:r>
      <w:r w:rsidR="00CE226C" w:rsidRPr="00CE226C">
        <w:t xml:space="preserve"> przemocą w rodzinie;</w:t>
      </w:r>
    </w:p>
    <w:p w:rsidR="00CE226C" w:rsidRPr="00CE226C" w:rsidRDefault="00CE226C" w:rsidP="00DE13D0">
      <w:pPr>
        <w:numPr>
          <w:ilvl w:val="0"/>
          <w:numId w:val="32"/>
        </w:numPr>
        <w:spacing w:after="60"/>
        <w:ind w:left="567" w:hanging="283"/>
      </w:pPr>
      <w:r w:rsidRPr="00CE226C">
        <w:t>instytucji, organizacji i innych podmiotów realizujących zadania z zakresu przeciwdziałania przemocy w rodzinie, zajmujących się ochroną i pomocą osobom dotkniętym przemocą oraz oddziaływaniem na osoby stosujące przemoc.</w:t>
      </w:r>
    </w:p>
    <w:p w:rsidR="00227E0F" w:rsidRPr="00CE226C" w:rsidRDefault="00227E0F" w:rsidP="00227E0F">
      <w:r w:rsidRPr="00CE226C">
        <w:t xml:space="preserve">Skuteczność i efektywność działań w obszarze przeciwdziałania przemocy w rodzinie wymaga współpracy instytucji i organizacji, działających w obszarze usług społecznych, takich jak pomoc społeczna, oświata i wychowanie, ochrona zdrowia i bezpieczeństwo publiczne. </w:t>
      </w:r>
      <w:r w:rsidR="00F830F6">
        <w:br/>
      </w:r>
      <w:r w:rsidR="00CE226C" w:rsidRPr="00CE226C">
        <w:t>W powiecie lidzbarskim realizatorami Programu będą w szczególności:</w:t>
      </w:r>
    </w:p>
    <w:p w:rsidR="00B93292" w:rsidRDefault="00CE226C" w:rsidP="00B93292">
      <w:pPr>
        <w:numPr>
          <w:ilvl w:val="0"/>
          <w:numId w:val="33"/>
        </w:numPr>
        <w:ind w:left="567"/>
      </w:pPr>
      <w:r w:rsidRPr="00CE226C">
        <w:t>Powiatowe Centrum Pomocy Rodzinie w Lidzbarku Warmińskim z siedzibą w Ornecie,</w:t>
      </w:r>
    </w:p>
    <w:p w:rsidR="00B93292" w:rsidRDefault="008001B2" w:rsidP="00B93292">
      <w:pPr>
        <w:numPr>
          <w:ilvl w:val="0"/>
          <w:numId w:val="33"/>
        </w:numPr>
        <w:ind w:left="567"/>
      </w:pPr>
      <w:r>
        <w:t>Starostwo Powiatowe w Lidzbarku Warmińskim,</w:t>
      </w:r>
    </w:p>
    <w:p w:rsidR="00B93292" w:rsidRDefault="005C5830" w:rsidP="00B93292">
      <w:pPr>
        <w:numPr>
          <w:ilvl w:val="0"/>
          <w:numId w:val="33"/>
        </w:numPr>
        <w:ind w:left="567"/>
      </w:pPr>
      <w:r w:rsidRPr="00B93292">
        <w:rPr>
          <w:szCs w:val="24"/>
        </w:rPr>
        <w:t>Powiatowe Poradnie Psychologiczno-Pedagogiczne</w:t>
      </w:r>
      <w:r w:rsidR="00B93292" w:rsidRPr="00B93292">
        <w:rPr>
          <w:szCs w:val="24"/>
        </w:rPr>
        <w:t xml:space="preserve"> w Lidzbarku Warmińskim i Ornecie</w:t>
      </w:r>
      <w:r w:rsidRPr="00B93292">
        <w:rPr>
          <w:szCs w:val="24"/>
        </w:rPr>
        <w:t>,</w:t>
      </w:r>
    </w:p>
    <w:p w:rsidR="00B93292" w:rsidRDefault="005C5830" w:rsidP="00B93292">
      <w:pPr>
        <w:numPr>
          <w:ilvl w:val="0"/>
          <w:numId w:val="33"/>
        </w:numPr>
        <w:ind w:left="567"/>
      </w:pPr>
      <w:r w:rsidRPr="00B93292">
        <w:rPr>
          <w:szCs w:val="24"/>
        </w:rPr>
        <w:t>Placówka Opiekuńczo-Wychowawcza „Mój Dom” w Ornecie</w:t>
      </w:r>
      <w:r w:rsidR="007263D0">
        <w:rPr>
          <w:szCs w:val="24"/>
        </w:rPr>
        <w:t xml:space="preserve"> i rodziny zastępcze,</w:t>
      </w:r>
    </w:p>
    <w:p w:rsidR="00B93292" w:rsidRDefault="005C5830" w:rsidP="00B93292">
      <w:pPr>
        <w:numPr>
          <w:ilvl w:val="0"/>
          <w:numId w:val="33"/>
        </w:numPr>
        <w:ind w:left="567"/>
      </w:pPr>
      <w:r w:rsidRPr="00B93292">
        <w:rPr>
          <w:szCs w:val="24"/>
        </w:rPr>
        <w:t>Komenda Powiatowa Policji w Lidzbarku Warmińskim</w:t>
      </w:r>
      <w:r w:rsidR="00B93292">
        <w:rPr>
          <w:szCs w:val="24"/>
        </w:rPr>
        <w:t xml:space="preserve"> oraz Komisariat Policji </w:t>
      </w:r>
      <w:r w:rsidR="00327128">
        <w:rPr>
          <w:szCs w:val="24"/>
        </w:rPr>
        <w:t xml:space="preserve">                              </w:t>
      </w:r>
      <w:r w:rsidR="00B93292">
        <w:rPr>
          <w:szCs w:val="24"/>
        </w:rPr>
        <w:t>w Ornecie,</w:t>
      </w:r>
    </w:p>
    <w:p w:rsidR="00B93292" w:rsidRPr="007263D0" w:rsidRDefault="005C5830" w:rsidP="00B93292">
      <w:pPr>
        <w:numPr>
          <w:ilvl w:val="0"/>
          <w:numId w:val="33"/>
        </w:numPr>
        <w:ind w:left="567"/>
      </w:pPr>
      <w:r w:rsidRPr="00B93292">
        <w:rPr>
          <w:szCs w:val="24"/>
        </w:rPr>
        <w:t>Sąd Rejonowy w Lidzbarku Warmińskim,</w:t>
      </w:r>
    </w:p>
    <w:p w:rsidR="007263D0" w:rsidRDefault="007263D0" w:rsidP="00B93292">
      <w:pPr>
        <w:numPr>
          <w:ilvl w:val="0"/>
          <w:numId w:val="33"/>
        </w:numPr>
        <w:ind w:left="567"/>
      </w:pPr>
      <w:r>
        <w:rPr>
          <w:szCs w:val="24"/>
        </w:rPr>
        <w:t>Prokuratura Rejonowa w Lidzbarku Warmińskim,</w:t>
      </w:r>
    </w:p>
    <w:p w:rsidR="00B93292" w:rsidRDefault="00B93292" w:rsidP="00B93292">
      <w:pPr>
        <w:numPr>
          <w:ilvl w:val="0"/>
          <w:numId w:val="33"/>
        </w:numPr>
        <w:ind w:left="567"/>
      </w:pPr>
      <w:r>
        <w:t>P</w:t>
      </w:r>
      <w:r w:rsidR="005C5830" w:rsidRPr="00CE226C">
        <w:t xml:space="preserve">lacówki </w:t>
      </w:r>
      <w:r>
        <w:t>oświatowe</w:t>
      </w:r>
      <w:r w:rsidR="005C5830" w:rsidRPr="00CE226C">
        <w:t>,</w:t>
      </w:r>
    </w:p>
    <w:p w:rsidR="00B93292" w:rsidRDefault="005C5830" w:rsidP="00B93292">
      <w:pPr>
        <w:numPr>
          <w:ilvl w:val="0"/>
          <w:numId w:val="33"/>
        </w:numPr>
        <w:ind w:left="567"/>
      </w:pPr>
      <w:r>
        <w:t>Urzędy gmin oraz ośrodki pomocy społecznej z terenu powiatu,</w:t>
      </w:r>
    </w:p>
    <w:p w:rsidR="00B93292" w:rsidRDefault="00B93292" w:rsidP="00B93292">
      <w:pPr>
        <w:numPr>
          <w:ilvl w:val="0"/>
          <w:numId w:val="33"/>
        </w:numPr>
        <w:ind w:left="567"/>
      </w:pPr>
      <w:r>
        <w:t>Gminne Komisje Rozwiązywania Problemów Alkoholowych,</w:t>
      </w:r>
    </w:p>
    <w:p w:rsidR="00B93292" w:rsidRDefault="00B93292" w:rsidP="00B93292">
      <w:pPr>
        <w:numPr>
          <w:ilvl w:val="0"/>
          <w:numId w:val="33"/>
        </w:numPr>
        <w:ind w:left="567"/>
      </w:pPr>
      <w:r>
        <w:t>Gminne Zespoły Interdyscyplinarne ds. przeciwdziałania przemocy w rodzinie,</w:t>
      </w:r>
    </w:p>
    <w:p w:rsidR="00B93292" w:rsidRDefault="005C5830" w:rsidP="00B93292">
      <w:pPr>
        <w:numPr>
          <w:ilvl w:val="0"/>
          <w:numId w:val="33"/>
        </w:numPr>
        <w:ind w:left="567"/>
      </w:pPr>
      <w:r w:rsidRPr="00B93292">
        <w:rPr>
          <w:szCs w:val="24"/>
        </w:rPr>
        <w:t>Zespół Opieki Zdrowotnej w Lidzbarku Warmińskim oraz ośrodki zdrowia w gminach,</w:t>
      </w:r>
    </w:p>
    <w:p w:rsidR="00B93292" w:rsidRDefault="00CE226C" w:rsidP="00B93292">
      <w:pPr>
        <w:numPr>
          <w:ilvl w:val="0"/>
          <w:numId w:val="33"/>
        </w:numPr>
        <w:ind w:left="567"/>
      </w:pPr>
      <w:r w:rsidRPr="00CE226C">
        <w:t>Punkty informacyjno-konsultacyjne,</w:t>
      </w:r>
    </w:p>
    <w:p w:rsidR="00CE226C" w:rsidRPr="00CE226C" w:rsidRDefault="00CE226C" w:rsidP="007263D0">
      <w:pPr>
        <w:numPr>
          <w:ilvl w:val="0"/>
          <w:numId w:val="33"/>
        </w:numPr>
        <w:ind w:left="567"/>
      </w:pPr>
      <w:r w:rsidRPr="00CE226C">
        <w:t>Świetlice środowiskowe i socjoterapeut</w:t>
      </w:r>
      <w:r w:rsidR="00DE13D0">
        <w:t>y</w:t>
      </w:r>
      <w:r w:rsidRPr="00CE226C">
        <w:t>czne</w:t>
      </w:r>
      <w:r w:rsidRPr="007263D0">
        <w:rPr>
          <w:szCs w:val="24"/>
        </w:rPr>
        <w:t>.</w:t>
      </w:r>
    </w:p>
    <w:p w:rsidR="008001B2" w:rsidRDefault="00CE226C" w:rsidP="00CE226C">
      <w:pPr>
        <w:rPr>
          <w:rFonts w:cs="Calibri"/>
        </w:rPr>
      </w:pPr>
      <w:r w:rsidRPr="00CE226C">
        <w:rPr>
          <w:rFonts w:cs="Calibri"/>
        </w:rPr>
        <w:t xml:space="preserve">Ponadto patrząc szeroko na lokalny system instytucji, organizacji i osób działających </w:t>
      </w:r>
      <w:r w:rsidR="00F830F6">
        <w:rPr>
          <w:rFonts w:cs="Calibri"/>
        </w:rPr>
        <w:br/>
      </w:r>
      <w:r w:rsidRPr="00CE226C">
        <w:rPr>
          <w:rFonts w:cs="Calibri"/>
        </w:rPr>
        <w:t>w obszarze przeciwdziałania przemocy w rodzinie, należy uwzględnić również aktywne organizacje pozarządowe (w szczególności funkcjonujące w sferze edukacji, pomocy społecznej, bezpieczeństwa), organizacje kościelne (parafie oraz grupy parafialne), a także jednostki pomocnicze gmin – sołectwa</w:t>
      </w:r>
      <w:r w:rsidR="008001B2">
        <w:rPr>
          <w:rFonts w:cs="Calibri"/>
        </w:rPr>
        <w:t>.</w:t>
      </w:r>
    </w:p>
    <w:p w:rsidR="00C068A7" w:rsidRPr="008001B2" w:rsidRDefault="008001B2" w:rsidP="008001B2">
      <w:pPr>
        <w:pStyle w:val="Nagwek1"/>
        <w:numPr>
          <w:ilvl w:val="0"/>
          <w:numId w:val="24"/>
        </w:numPr>
        <w:ind w:left="284" w:hanging="284"/>
        <w:rPr>
          <w:rFonts w:cs="Calibri"/>
        </w:rPr>
      </w:pPr>
      <w:r>
        <w:rPr>
          <w:rFonts w:cs="Calibri"/>
        </w:rPr>
        <w:br w:type="page"/>
      </w:r>
      <w:bookmarkStart w:id="11" w:name="_Toc469934523"/>
      <w:bookmarkStart w:id="12" w:name="_Toc86158835"/>
      <w:r w:rsidR="00C068A7" w:rsidRPr="003B6586">
        <w:lastRenderedPageBreak/>
        <w:t>Cele</w:t>
      </w:r>
      <w:r w:rsidR="003B6586" w:rsidRPr="003B6586">
        <w:t xml:space="preserve">, kierunki i oczekiwane rezultaty </w:t>
      </w:r>
      <w:r w:rsidR="00C068A7" w:rsidRPr="003B6586">
        <w:t>Programu</w:t>
      </w:r>
      <w:bookmarkEnd w:id="11"/>
      <w:bookmarkEnd w:id="12"/>
    </w:p>
    <w:p w:rsidR="00C068A7" w:rsidRPr="003B6586" w:rsidRDefault="003B6586" w:rsidP="003B6586">
      <w:r w:rsidRPr="003B6586">
        <w:t xml:space="preserve">Część wdrożeniowa niniejszego Programu została usystematyzowana poprzez cele: główny </w:t>
      </w:r>
      <w:r w:rsidR="00F830F6">
        <w:br/>
      </w:r>
      <w:r w:rsidRPr="003B6586">
        <w:t>i szczegółowe. W ramach każdego celu szczegółowego określono katalog niezbędnych działań, przy czym należy zaznaczyć, że nie ma on charakteru zamkniętego. Oznacza to,</w:t>
      </w:r>
      <w:r w:rsidR="00A46779">
        <w:t xml:space="preserve">                     </w:t>
      </w:r>
      <w:r w:rsidRPr="003B6586">
        <w:t xml:space="preserve"> że jeżeli w trakcie realizacji Programu pojawią się inne pomysły i projekty wpisujące się </w:t>
      </w:r>
      <w:r w:rsidR="00A0381E">
        <w:t xml:space="preserve">                        </w:t>
      </w:r>
      <w:r w:rsidRPr="003B6586">
        <w:t xml:space="preserve">w jego cele, to również powinny </w:t>
      </w:r>
      <w:r w:rsidR="00A0381E">
        <w:t>zostać uwzględnione.</w:t>
      </w:r>
    </w:p>
    <w:p w:rsidR="00C068A7" w:rsidRPr="003B6586" w:rsidRDefault="003B6586" w:rsidP="00C068A7">
      <w:r w:rsidRPr="003B6586">
        <w:t>Zaplanowane cele z</w:t>
      </w:r>
      <w:r w:rsidR="00C068A7" w:rsidRPr="003B6586">
        <w:t xml:space="preserve">ostaną osiągnięte w wyniku realizacji zadań, których katalog uporządkowano w formie trzech priorytetów obejmujących różnorodne metody i narzędzia odnoszące się do następujących zagadnień: </w:t>
      </w:r>
    </w:p>
    <w:p w:rsidR="00C068A7" w:rsidRPr="003B6586" w:rsidRDefault="00C068A7" w:rsidP="00157B44">
      <w:pPr>
        <w:numPr>
          <w:ilvl w:val="0"/>
          <w:numId w:val="15"/>
        </w:numPr>
      </w:pPr>
      <w:r w:rsidRPr="003B6586">
        <w:t xml:space="preserve">profilaktyki i edukacji społecznej, </w:t>
      </w:r>
    </w:p>
    <w:p w:rsidR="00C068A7" w:rsidRPr="003B6586" w:rsidRDefault="00C068A7" w:rsidP="00157B44">
      <w:pPr>
        <w:numPr>
          <w:ilvl w:val="0"/>
          <w:numId w:val="15"/>
        </w:numPr>
      </w:pPr>
      <w:r w:rsidRPr="003B6586">
        <w:t>pracy z osobami i rodzinami dotkniętymi problemem</w:t>
      </w:r>
      <w:r w:rsidR="003B6586" w:rsidRPr="003B6586">
        <w:t xml:space="preserve"> przemocy w rodzinie</w:t>
      </w:r>
      <w:r w:rsidRPr="003B6586">
        <w:t xml:space="preserve">, </w:t>
      </w:r>
    </w:p>
    <w:p w:rsidR="00C068A7" w:rsidRPr="003B6586" w:rsidRDefault="00C068A7" w:rsidP="00157B44">
      <w:pPr>
        <w:numPr>
          <w:ilvl w:val="0"/>
          <w:numId w:val="15"/>
        </w:numPr>
      </w:pPr>
      <w:r w:rsidRPr="003B6586">
        <w:t>zadań i relacji wewnątrz systemu instytucjonalnego.</w:t>
      </w:r>
    </w:p>
    <w:p w:rsidR="002B0D68" w:rsidRPr="00962F50" w:rsidRDefault="00962F50" w:rsidP="002B0D68">
      <w:r w:rsidRPr="00962F50">
        <w:t>Cel główny i cele szczegółowe są następujące:</w:t>
      </w:r>
    </w:p>
    <w:p w:rsidR="003B6586" w:rsidRDefault="00962F50" w:rsidP="002B0D68">
      <w:pPr>
        <w:rPr>
          <w:highlight w:val="yellow"/>
        </w:rPr>
      </w:pPr>
      <w:r w:rsidRPr="005C5830">
        <w:rPr>
          <w:b/>
          <w:i/>
          <w:noProof/>
          <w:sz w:val="28"/>
          <w:shd w:val="clear" w:color="auto" w:fill="D9E2F3" w:themeFill="accent1" w:themeFillTint="33"/>
          <w:lang w:eastAsia="pl-PL"/>
        </w:rPr>
        <w:drawing>
          <wp:inline distT="0" distB="0" distL="0" distR="0">
            <wp:extent cx="5650230" cy="3775710"/>
            <wp:effectExtent l="57150" t="19050" r="762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C068A7" w:rsidRPr="008001B2" w:rsidRDefault="00C068A7" w:rsidP="00C068A7">
      <w:r w:rsidRPr="008001B2">
        <w:t xml:space="preserve">Użyte w celu głównym pojęcie „skuteczność” kładzie nacisk na pożądane efekty działań podejmowanych przez instytucje i organizacje tworzące </w:t>
      </w:r>
      <w:r w:rsidR="00D16410" w:rsidRPr="008001B2">
        <w:t>powiatowy</w:t>
      </w:r>
      <w:r w:rsidRPr="008001B2">
        <w:t xml:space="preserve"> system przeciwdziałania przemocy w rodzinie. Innymi słowy chodzi o to, aby w wyniku realizacji Programu zostały osiągnięte jak najlepsze rezultaty skutkujące poprawą w funkcjonowaniu osób, rodzin i całej społeczności lokalnej, a także usprawnieniami w zakresie działania oraz kooperacji pomiędzy podmiotami instytucjonalnymi. Dzięki integracji ww. zagadnień będzie możliwe osiągnięcie efektu synergicznego, wykraczającego poza działania poszczególnych osób, grup </w:t>
      </w:r>
      <w:r w:rsidR="00A0381E">
        <w:t xml:space="preserve">                              </w:t>
      </w:r>
      <w:r w:rsidRPr="008001B2">
        <w:t>czy organizacji.</w:t>
      </w:r>
    </w:p>
    <w:p w:rsidR="008001B2" w:rsidRDefault="008001B2" w:rsidP="00C068A7"/>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664"/>
        <w:gridCol w:w="8350"/>
      </w:tblGrid>
      <w:tr w:rsidR="008001B2" w:rsidRPr="008001B2" w:rsidTr="00F830F6">
        <w:trPr>
          <w:trHeight w:val="444"/>
        </w:trPr>
        <w:tc>
          <w:tcPr>
            <w:tcW w:w="9014" w:type="dxa"/>
            <w:gridSpan w:val="2"/>
            <w:shd w:val="clear" w:color="auto" w:fill="D9E2F3" w:themeFill="accent1" w:themeFillTint="33"/>
            <w:vAlign w:val="center"/>
          </w:tcPr>
          <w:p w:rsidR="008001B2" w:rsidRPr="008001B2" w:rsidRDefault="008001B2" w:rsidP="008001B2">
            <w:pPr>
              <w:spacing w:after="60"/>
              <w:jc w:val="center"/>
              <w:rPr>
                <w:b/>
              </w:rPr>
            </w:pPr>
            <w:r w:rsidRPr="008001B2">
              <w:rPr>
                <w:b/>
              </w:rPr>
              <w:lastRenderedPageBreak/>
              <w:t xml:space="preserve">Cel szczegółowy 1. </w:t>
            </w:r>
            <w:r w:rsidRPr="008001B2">
              <w:rPr>
                <w:b/>
              </w:rPr>
              <w:br/>
              <w:t xml:space="preserve">Wzmacnianie oddziaływań profilaktycznych służących przeciwdziałaniu </w:t>
            </w:r>
            <w:r w:rsidRPr="008001B2">
              <w:rPr>
                <w:b/>
              </w:rPr>
              <w:br/>
              <w:t>przemocy w rodzinie</w:t>
            </w:r>
          </w:p>
        </w:tc>
      </w:tr>
      <w:tr w:rsidR="008001B2" w:rsidRPr="008001B2" w:rsidTr="00F830F6">
        <w:trPr>
          <w:trHeight w:val="569"/>
        </w:trPr>
        <w:tc>
          <w:tcPr>
            <w:tcW w:w="664" w:type="dxa"/>
            <w:shd w:val="clear" w:color="auto" w:fill="auto"/>
          </w:tcPr>
          <w:p w:rsidR="008001B2" w:rsidRPr="008001B2" w:rsidRDefault="008001B2" w:rsidP="008001B2">
            <w:pPr>
              <w:spacing w:after="60"/>
              <w:jc w:val="center"/>
            </w:pPr>
            <w:r w:rsidRPr="008001B2">
              <w:t>1.</w:t>
            </w:r>
          </w:p>
        </w:tc>
        <w:tc>
          <w:tcPr>
            <w:tcW w:w="8349" w:type="dxa"/>
            <w:shd w:val="clear" w:color="auto" w:fill="auto"/>
          </w:tcPr>
          <w:p w:rsidR="008001B2" w:rsidRPr="008001B2" w:rsidRDefault="008001B2" w:rsidP="008001B2">
            <w:pPr>
              <w:spacing w:after="60"/>
            </w:pPr>
            <w:r w:rsidRPr="008001B2">
              <w:t>Realizacja kampanii i akcji społecznych służących podnoszeniu wiedzy oraz kształtowaniu odpowiednich postaw społecznych, w szczególności w zakresie profilaktyki uzależnień oraz przemocy w rodzinie</w:t>
            </w:r>
            <w:r w:rsidR="00614EE5">
              <w:t>.</w:t>
            </w:r>
          </w:p>
        </w:tc>
      </w:tr>
      <w:tr w:rsidR="008001B2" w:rsidRPr="008001B2" w:rsidTr="00F830F6">
        <w:trPr>
          <w:trHeight w:val="967"/>
        </w:trPr>
        <w:tc>
          <w:tcPr>
            <w:tcW w:w="664" w:type="dxa"/>
            <w:shd w:val="clear" w:color="auto" w:fill="auto"/>
          </w:tcPr>
          <w:p w:rsidR="008001B2" w:rsidRPr="008001B2" w:rsidRDefault="008001B2" w:rsidP="008001B2">
            <w:pPr>
              <w:spacing w:after="60"/>
              <w:jc w:val="center"/>
            </w:pPr>
            <w:r w:rsidRPr="008001B2">
              <w:t>2.</w:t>
            </w:r>
          </w:p>
        </w:tc>
        <w:tc>
          <w:tcPr>
            <w:tcW w:w="8349" w:type="dxa"/>
            <w:shd w:val="clear" w:color="auto" w:fill="auto"/>
          </w:tcPr>
          <w:p w:rsidR="008001B2" w:rsidRPr="008001B2" w:rsidRDefault="008001B2" w:rsidP="008001B2">
            <w:pPr>
              <w:spacing w:after="60"/>
              <w:contextualSpacing/>
              <w:rPr>
                <w:szCs w:val="24"/>
              </w:rPr>
            </w:pPr>
            <w:bookmarkStart w:id="13" w:name="_Hlk85377478"/>
            <w:r w:rsidRPr="008001B2">
              <w:rPr>
                <w:szCs w:val="24"/>
              </w:rPr>
              <w:t>Realizacja programów edukacyjno-profilaktycznych skierowanych do dzieci, młodzieży oraz osób dorosłych, dotyczących przemocy w rodzinie oraz zachowań agresywnych</w:t>
            </w:r>
            <w:r w:rsidR="00614EE5">
              <w:rPr>
                <w:szCs w:val="24"/>
              </w:rPr>
              <w:t>.</w:t>
            </w:r>
            <w:bookmarkEnd w:id="13"/>
          </w:p>
        </w:tc>
      </w:tr>
      <w:tr w:rsidR="008001B2" w:rsidRPr="008001B2" w:rsidTr="00F830F6">
        <w:trPr>
          <w:trHeight w:val="649"/>
        </w:trPr>
        <w:tc>
          <w:tcPr>
            <w:tcW w:w="664" w:type="dxa"/>
            <w:shd w:val="clear" w:color="auto" w:fill="auto"/>
          </w:tcPr>
          <w:p w:rsidR="008001B2" w:rsidRPr="008001B2" w:rsidRDefault="008001B2" w:rsidP="008001B2">
            <w:pPr>
              <w:spacing w:after="60"/>
              <w:jc w:val="center"/>
            </w:pPr>
            <w:r w:rsidRPr="008001B2">
              <w:t>3.</w:t>
            </w:r>
          </w:p>
        </w:tc>
        <w:tc>
          <w:tcPr>
            <w:tcW w:w="8349" w:type="dxa"/>
            <w:shd w:val="clear" w:color="auto" w:fill="auto"/>
          </w:tcPr>
          <w:p w:rsidR="008001B2" w:rsidRPr="008001B2" w:rsidRDefault="008001B2" w:rsidP="008001B2">
            <w:pPr>
              <w:spacing w:after="60"/>
              <w:contextualSpacing/>
              <w:rPr>
                <w:bCs/>
                <w:szCs w:val="24"/>
              </w:rPr>
            </w:pPr>
            <w:r w:rsidRPr="008001B2">
              <w:rPr>
                <w:bCs/>
                <w:szCs w:val="24"/>
              </w:rPr>
              <w:t>Promocja prawidłowych metod wychowawczych i postaw rodzicielskich</w:t>
            </w:r>
            <w:r>
              <w:rPr>
                <w:bCs/>
                <w:szCs w:val="24"/>
              </w:rPr>
              <w:t>, w tym poprzez zajęcia edukacyjne.</w:t>
            </w:r>
          </w:p>
        </w:tc>
      </w:tr>
      <w:tr w:rsidR="00746F7B" w:rsidRPr="008001B2" w:rsidTr="00F830F6">
        <w:trPr>
          <w:trHeight w:val="1284"/>
        </w:trPr>
        <w:tc>
          <w:tcPr>
            <w:tcW w:w="664" w:type="dxa"/>
            <w:shd w:val="clear" w:color="auto" w:fill="auto"/>
          </w:tcPr>
          <w:p w:rsidR="00746F7B" w:rsidRPr="008001B2" w:rsidRDefault="00746F7B" w:rsidP="008001B2">
            <w:pPr>
              <w:spacing w:after="60"/>
              <w:jc w:val="center"/>
            </w:pPr>
            <w:r>
              <w:t>4.</w:t>
            </w:r>
          </w:p>
        </w:tc>
        <w:tc>
          <w:tcPr>
            <w:tcW w:w="8349" w:type="dxa"/>
            <w:shd w:val="clear" w:color="auto" w:fill="auto"/>
          </w:tcPr>
          <w:p w:rsidR="00746F7B" w:rsidRPr="008001B2" w:rsidRDefault="00746F7B" w:rsidP="008001B2">
            <w:pPr>
              <w:spacing w:after="60"/>
              <w:contextualSpacing/>
              <w:rPr>
                <w:bCs/>
                <w:szCs w:val="24"/>
              </w:rPr>
            </w:pPr>
            <w:r>
              <w:rPr>
                <w:bCs/>
                <w:szCs w:val="24"/>
              </w:rPr>
              <w:t xml:space="preserve">Edukacja prawna i obywatelska mieszkańców, w szczególności </w:t>
            </w:r>
            <w:r w:rsidRPr="005C5830">
              <w:rPr>
                <w:bCs/>
                <w:szCs w:val="24"/>
              </w:rPr>
              <w:t>w zakresie przysługujących im praw oraz obowiązków, z uwzględnieniem tematyki przemocy w rodzinie – poprzez uświadamianie prawnych aspektów problemu, budowanie poczucia podmiotowości (zwłaszcza wśród osób starszych, zależnych)</w:t>
            </w:r>
            <w:r>
              <w:rPr>
                <w:bCs/>
                <w:szCs w:val="24"/>
              </w:rPr>
              <w:t>.</w:t>
            </w:r>
          </w:p>
        </w:tc>
      </w:tr>
      <w:tr w:rsidR="008001B2" w:rsidRPr="008001B2" w:rsidTr="00F830F6">
        <w:trPr>
          <w:trHeight w:val="649"/>
        </w:trPr>
        <w:tc>
          <w:tcPr>
            <w:tcW w:w="664" w:type="dxa"/>
            <w:shd w:val="clear" w:color="auto" w:fill="auto"/>
          </w:tcPr>
          <w:p w:rsidR="008001B2" w:rsidRPr="008001B2" w:rsidRDefault="00746F7B" w:rsidP="008001B2">
            <w:pPr>
              <w:spacing w:after="60"/>
              <w:jc w:val="center"/>
            </w:pPr>
            <w:r>
              <w:t>5.</w:t>
            </w:r>
          </w:p>
        </w:tc>
        <w:tc>
          <w:tcPr>
            <w:tcW w:w="8349" w:type="dxa"/>
            <w:shd w:val="clear" w:color="auto" w:fill="auto"/>
          </w:tcPr>
          <w:p w:rsidR="008001B2" w:rsidRPr="008001B2" w:rsidRDefault="005C5830" w:rsidP="008001B2">
            <w:pPr>
              <w:spacing w:after="60"/>
              <w:contextualSpacing/>
              <w:rPr>
                <w:bCs/>
                <w:szCs w:val="24"/>
              </w:rPr>
            </w:pPr>
            <w:r w:rsidRPr="005C5830">
              <w:rPr>
                <w:bCs/>
                <w:szCs w:val="24"/>
              </w:rPr>
              <w:t>Upowszechnianie informacji na temat możliwości uzyskania specjalistycznej pomocy przez osoby doświadczające przemocy i ich rodziny.</w:t>
            </w:r>
          </w:p>
        </w:tc>
      </w:tr>
      <w:tr w:rsidR="008001B2" w:rsidRPr="008001B2" w:rsidTr="00F830F6">
        <w:trPr>
          <w:trHeight w:val="649"/>
        </w:trPr>
        <w:tc>
          <w:tcPr>
            <w:tcW w:w="664" w:type="dxa"/>
            <w:shd w:val="clear" w:color="auto" w:fill="auto"/>
          </w:tcPr>
          <w:p w:rsidR="008001B2" w:rsidRPr="008001B2" w:rsidRDefault="00746F7B" w:rsidP="008001B2">
            <w:pPr>
              <w:spacing w:after="60"/>
              <w:jc w:val="center"/>
            </w:pPr>
            <w:r>
              <w:t>6.</w:t>
            </w:r>
          </w:p>
        </w:tc>
        <w:tc>
          <w:tcPr>
            <w:tcW w:w="8349" w:type="dxa"/>
            <w:shd w:val="clear" w:color="auto" w:fill="auto"/>
          </w:tcPr>
          <w:p w:rsidR="008001B2" w:rsidRPr="008001B2" w:rsidRDefault="005C5830" w:rsidP="008001B2">
            <w:pPr>
              <w:spacing w:after="60"/>
              <w:contextualSpacing/>
              <w:rPr>
                <w:bCs/>
                <w:szCs w:val="24"/>
              </w:rPr>
            </w:pPr>
            <w:r w:rsidRPr="005C5830">
              <w:rPr>
                <w:bCs/>
                <w:szCs w:val="24"/>
              </w:rPr>
              <w:t xml:space="preserve">Bieżąca diagnoza i rozpoznawanie sytuacji rodzin w kierunku identyfikacji </w:t>
            </w:r>
            <w:r w:rsidR="00F830F6">
              <w:rPr>
                <w:bCs/>
                <w:szCs w:val="24"/>
              </w:rPr>
              <w:br/>
            </w:r>
            <w:r w:rsidRPr="005C5830">
              <w:rPr>
                <w:bCs/>
                <w:szCs w:val="24"/>
              </w:rPr>
              <w:t>i przeciwdziałania ryzyku przemocy.</w:t>
            </w:r>
          </w:p>
        </w:tc>
      </w:tr>
      <w:tr w:rsidR="008001B2" w:rsidRPr="008001B2" w:rsidTr="00F830F6">
        <w:trPr>
          <w:trHeight w:val="1045"/>
        </w:trPr>
        <w:tc>
          <w:tcPr>
            <w:tcW w:w="9014" w:type="dxa"/>
            <w:gridSpan w:val="2"/>
            <w:shd w:val="clear" w:color="auto" w:fill="D9E2F3" w:themeFill="accent1" w:themeFillTint="33"/>
          </w:tcPr>
          <w:p w:rsidR="008001B2" w:rsidRPr="008001B2" w:rsidRDefault="008001B2" w:rsidP="008001B2">
            <w:pPr>
              <w:spacing w:after="60"/>
              <w:jc w:val="center"/>
              <w:rPr>
                <w:b/>
              </w:rPr>
            </w:pPr>
            <w:r w:rsidRPr="008001B2">
              <w:rPr>
                <w:b/>
              </w:rPr>
              <w:t xml:space="preserve">Cel szczegółowy 2. </w:t>
            </w:r>
            <w:r w:rsidRPr="008001B2">
              <w:rPr>
                <w:b/>
              </w:rPr>
              <w:br/>
              <w:t xml:space="preserve">Zwiększanie dostępności pomocy i ochrony dla ofiar przemocy w rodzinie </w:t>
            </w:r>
            <w:r w:rsidR="00111F78">
              <w:rPr>
                <w:b/>
              </w:rPr>
              <w:t xml:space="preserve">                                  </w:t>
            </w:r>
            <w:r w:rsidRPr="008001B2">
              <w:rPr>
                <w:b/>
              </w:rPr>
              <w:t>oraz efektywności oddziaływań względem sprawców</w:t>
            </w:r>
          </w:p>
        </w:tc>
      </w:tr>
      <w:tr w:rsidR="008001B2" w:rsidRPr="008001B2" w:rsidTr="00F830F6">
        <w:trPr>
          <w:trHeight w:val="1046"/>
        </w:trPr>
        <w:tc>
          <w:tcPr>
            <w:tcW w:w="664" w:type="dxa"/>
            <w:shd w:val="clear" w:color="auto" w:fill="auto"/>
          </w:tcPr>
          <w:p w:rsidR="008001B2" w:rsidRPr="008001B2" w:rsidRDefault="008001B2" w:rsidP="008001B2">
            <w:pPr>
              <w:spacing w:after="60"/>
              <w:jc w:val="center"/>
            </w:pPr>
            <w:r w:rsidRPr="008001B2">
              <w:t>1.</w:t>
            </w:r>
          </w:p>
        </w:tc>
        <w:tc>
          <w:tcPr>
            <w:tcW w:w="8349" w:type="dxa"/>
            <w:shd w:val="clear" w:color="auto" w:fill="auto"/>
          </w:tcPr>
          <w:p w:rsidR="008001B2" w:rsidRPr="008001B2" w:rsidRDefault="005C5830" w:rsidP="008001B2">
            <w:pPr>
              <w:spacing w:after="60"/>
            </w:pPr>
            <w:r w:rsidRPr="005C5830">
              <w:t xml:space="preserve">Rozwój poradnictwa specjalistycznego, w tym w formule bezpośredniej i </w:t>
            </w:r>
            <w:proofErr w:type="spellStart"/>
            <w:r w:rsidRPr="005C5830">
              <w:t>on-line</w:t>
            </w:r>
            <w:proofErr w:type="spellEnd"/>
            <w:r w:rsidRPr="005C5830">
              <w:t>, na rzecz osób zagrożonych przemocą, doświadczających jej oraz stosujących przemoc wobec członków rodziny.</w:t>
            </w:r>
          </w:p>
        </w:tc>
      </w:tr>
      <w:tr w:rsidR="008001B2" w:rsidRPr="008001B2" w:rsidTr="00F830F6">
        <w:trPr>
          <w:trHeight w:val="967"/>
        </w:trPr>
        <w:tc>
          <w:tcPr>
            <w:tcW w:w="664" w:type="dxa"/>
            <w:shd w:val="clear" w:color="auto" w:fill="auto"/>
          </w:tcPr>
          <w:p w:rsidR="008001B2" w:rsidRPr="008001B2" w:rsidRDefault="008001B2" w:rsidP="008001B2">
            <w:pPr>
              <w:spacing w:after="60"/>
              <w:jc w:val="center"/>
            </w:pPr>
            <w:r w:rsidRPr="008001B2">
              <w:t>2.</w:t>
            </w:r>
          </w:p>
        </w:tc>
        <w:tc>
          <w:tcPr>
            <w:tcW w:w="8349" w:type="dxa"/>
            <w:shd w:val="clear" w:color="auto" w:fill="auto"/>
          </w:tcPr>
          <w:p w:rsidR="008001B2" w:rsidRPr="008001B2" w:rsidRDefault="005C5830" w:rsidP="008001B2">
            <w:pPr>
              <w:spacing w:after="60"/>
              <w:contextualSpacing/>
              <w:rPr>
                <w:szCs w:val="24"/>
              </w:rPr>
            </w:pPr>
            <w:r w:rsidRPr="005C5830">
              <w:rPr>
                <w:szCs w:val="24"/>
              </w:rPr>
              <w:t>Stworzenie osobom doznaj</w:t>
            </w:r>
            <w:r w:rsidRPr="005C5830">
              <w:rPr>
                <w:rFonts w:hint="eastAsia"/>
                <w:szCs w:val="24"/>
              </w:rPr>
              <w:t>ą</w:t>
            </w:r>
            <w:r w:rsidRPr="005C5830">
              <w:rPr>
                <w:szCs w:val="24"/>
              </w:rPr>
              <w:t>cym przemocy w rodzinie mo</w:t>
            </w:r>
            <w:r w:rsidRPr="005C5830">
              <w:rPr>
                <w:rFonts w:hint="eastAsia"/>
                <w:szCs w:val="24"/>
              </w:rPr>
              <w:t>ż</w:t>
            </w:r>
            <w:r w:rsidRPr="005C5830">
              <w:rPr>
                <w:szCs w:val="24"/>
              </w:rPr>
              <w:t>liwo</w:t>
            </w:r>
            <w:r w:rsidRPr="005C5830">
              <w:rPr>
                <w:rFonts w:hint="eastAsia"/>
                <w:szCs w:val="24"/>
              </w:rPr>
              <w:t>ś</w:t>
            </w:r>
            <w:r w:rsidRPr="005C5830">
              <w:rPr>
                <w:szCs w:val="24"/>
              </w:rPr>
              <w:t>ci w organizowaniu grup wsparcia oraz grup samopomocowych maj</w:t>
            </w:r>
            <w:r w:rsidRPr="005C5830">
              <w:rPr>
                <w:rFonts w:hint="eastAsia"/>
                <w:szCs w:val="24"/>
              </w:rPr>
              <w:t>ą</w:t>
            </w:r>
            <w:r w:rsidRPr="005C5830">
              <w:rPr>
                <w:szCs w:val="24"/>
              </w:rPr>
              <w:t>cych na celu wzajemne wsparcie emocjonalne i wymian</w:t>
            </w:r>
            <w:r w:rsidRPr="005C5830">
              <w:rPr>
                <w:rFonts w:hint="eastAsia"/>
                <w:szCs w:val="24"/>
              </w:rPr>
              <w:t>ę</w:t>
            </w:r>
            <w:r w:rsidRPr="005C5830">
              <w:rPr>
                <w:szCs w:val="24"/>
              </w:rPr>
              <w:t xml:space="preserve"> do</w:t>
            </w:r>
            <w:r w:rsidRPr="005C5830">
              <w:rPr>
                <w:rFonts w:hint="eastAsia"/>
                <w:szCs w:val="24"/>
              </w:rPr>
              <w:t>ś</w:t>
            </w:r>
            <w:r w:rsidRPr="005C5830">
              <w:rPr>
                <w:szCs w:val="24"/>
              </w:rPr>
              <w:t>wiadcze</w:t>
            </w:r>
            <w:r w:rsidRPr="005C5830">
              <w:rPr>
                <w:rFonts w:hint="eastAsia"/>
                <w:szCs w:val="24"/>
              </w:rPr>
              <w:t>ń</w:t>
            </w:r>
            <w:r w:rsidRPr="005C5830">
              <w:rPr>
                <w:szCs w:val="24"/>
              </w:rPr>
              <w:t>.</w:t>
            </w:r>
          </w:p>
        </w:tc>
      </w:tr>
      <w:tr w:rsidR="008001B2" w:rsidRPr="008001B2" w:rsidTr="00F830F6">
        <w:trPr>
          <w:trHeight w:val="1284"/>
        </w:trPr>
        <w:tc>
          <w:tcPr>
            <w:tcW w:w="664" w:type="dxa"/>
            <w:shd w:val="clear" w:color="auto" w:fill="auto"/>
          </w:tcPr>
          <w:p w:rsidR="008001B2" w:rsidRPr="008001B2" w:rsidRDefault="008001B2" w:rsidP="008001B2">
            <w:pPr>
              <w:spacing w:after="60"/>
              <w:jc w:val="center"/>
            </w:pPr>
            <w:r w:rsidRPr="008001B2">
              <w:t>3.</w:t>
            </w:r>
          </w:p>
        </w:tc>
        <w:tc>
          <w:tcPr>
            <w:tcW w:w="8349" w:type="dxa"/>
            <w:shd w:val="clear" w:color="auto" w:fill="auto"/>
          </w:tcPr>
          <w:p w:rsidR="008001B2" w:rsidRPr="008001B2" w:rsidRDefault="005C5830" w:rsidP="008001B2">
            <w:pPr>
              <w:spacing w:after="60"/>
              <w:contextualSpacing/>
              <w:rPr>
                <w:szCs w:val="24"/>
              </w:rPr>
            </w:pPr>
            <w:r>
              <w:rPr>
                <w:szCs w:val="24"/>
              </w:rPr>
              <w:t>Działania</w:t>
            </w:r>
            <w:r w:rsidRPr="005C5830">
              <w:rPr>
                <w:szCs w:val="24"/>
              </w:rPr>
              <w:t xml:space="preserve"> umożliwiając</w:t>
            </w:r>
            <w:r>
              <w:rPr>
                <w:szCs w:val="24"/>
              </w:rPr>
              <w:t>e</w:t>
            </w:r>
            <w:r w:rsidRPr="005C5830">
              <w:rPr>
                <w:szCs w:val="24"/>
              </w:rPr>
              <w:t xml:space="preserve"> ochronę ofiar przed dalszym krzywdzeniem</w:t>
            </w:r>
            <w:r>
              <w:rPr>
                <w:szCs w:val="24"/>
              </w:rPr>
              <w:t xml:space="preserve"> poprzez </w:t>
            </w:r>
            <w:r w:rsidRPr="005C5830">
              <w:rPr>
                <w:szCs w:val="24"/>
              </w:rPr>
              <w:t>szybk</w:t>
            </w:r>
            <w:r>
              <w:rPr>
                <w:szCs w:val="24"/>
              </w:rPr>
              <w:t>ą</w:t>
            </w:r>
            <w:r w:rsidRPr="005C5830">
              <w:rPr>
                <w:szCs w:val="24"/>
              </w:rPr>
              <w:t xml:space="preserve"> i skuteczn</w:t>
            </w:r>
            <w:r>
              <w:rPr>
                <w:szCs w:val="24"/>
              </w:rPr>
              <w:t>ą</w:t>
            </w:r>
            <w:r w:rsidRPr="005C5830">
              <w:rPr>
                <w:szCs w:val="24"/>
              </w:rPr>
              <w:t xml:space="preserve"> interwencj</w:t>
            </w:r>
            <w:r>
              <w:rPr>
                <w:szCs w:val="24"/>
              </w:rPr>
              <w:t>ę</w:t>
            </w:r>
            <w:r w:rsidRPr="005C5830">
              <w:rPr>
                <w:szCs w:val="24"/>
              </w:rPr>
              <w:t xml:space="preserve">, odizolowanie ofiar od sprawcy przemocy oraz opracowanie i wdrażanie planu pomocy dostosowanego do potrzeb, zasobów </w:t>
            </w:r>
            <w:r w:rsidR="00111F78">
              <w:rPr>
                <w:szCs w:val="24"/>
              </w:rPr>
              <w:t xml:space="preserve">                          </w:t>
            </w:r>
            <w:r w:rsidRPr="005C5830">
              <w:rPr>
                <w:szCs w:val="24"/>
              </w:rPr>
              <w:t>i deficytów osób/rodzin objętych wsparciem</w:t>
            </w:r>
            <w:r w:rsidR="00746F7B">
              <w:rPr>
                <w:szCs w:val="24"/>
              </w:rPr>
              <w:t>.</w:t>
            </w:r>
          </w:p>
        </w:tc>
      </w:tr>
      <w:tr w:rsidR="008001B2" w:rsidRPr="008001B2" w:rsidTr="00F830F6">
        <w:trPr>
          <w:trHeight w:val="967"/>
        </w:trPr>
        <w:tc>
          <w:tcPr>
            <w:tcW w:w="664" w:type="dxa"/>
            <w:shd w:val="clear" w:color="auto" w:fill="auto"/>
          </w:tcPr>
          <w:p w:rsidR="008001B2" w:rsidRPr="008001B2" w:rsidRDefault="008001B2" w:rsidP="008001B2">
            <w:pPr>
              <w:spacing w:after="60"/>
              <w:jc w:val="center"/>
            </w:pPr>
            <w:r>
              <w:t>4.</w:t>
            </w:r>
          </w:p>
        </w:tc>
        <w:tc>
          <w:tcPr>
            <w:tcW w:w="8349" w:type="dxa"/>
            <w:shd w:val="clear" w:color="auto" w:fill="auto"/>
          </w:tcPr>
          <w:p w:rsidR="008001B2" w:rsidRPr="008001B2" w:rsidRDefault="003E6CD1" w:rsidP="008001B2">
            <w:pPr>
              <w:spacing w:after="60"/>
              <w:contextualSpacing/>
              <w:rPr>
                <w:szCs w:val="24"/>
              </w:rPr>
            </w:pPr>
            <w:r w:rsidRPr="003E6CD1">
              <w:rPr>
                <w:szCs w:val="24"/>
              </w:rPr>
              <w:t>Utworzenie powiatowego ośrodka interwencji kryzysowej jako placówki wielofunkcyjnej oferującej noclegownię, wsparcie specjalistyczne oraz pobyt całodobowy dla osób i rodzin w kryzysie.</w:t>
            </w:r>
          </w:p>
        </w:tc>
      </w:tr>
      <w:tr w:rsidR="008001B2" w:rsidRPr="008001B2" w:rsidTr="00F830F6">
        <w:trPr>
          <w:trHeight w:val="1298"/>
        </w:trPr>
        <w:tc>
          <w:tcPr>
            <w:tcW w:w="664" w:type="dxa"/>
            <w:shd w:val="clear" w:color="auto" w:fill="auto"/>
          </w:tcPr>
          <w:p w:rsidR="008001B2" w:rsidRPr="008001B2" w:rsidRDefault="008001B2" w:rsidP="008001B2">
            <w:pPr>
              <w:spacing w:after="60"/>
              <w:jc w:val="center"/>
            </w:pPr>
            <w:r>
              <w:t>5.</w:t>
            </w:r>
          </w:p>
        </w:tc>
        <w:tc>
          <w:tcPr>
            <w:tcW w:w="8349" w:type="dxa"/>
            <w:shd w:val="clear" w:color="auto" w:fill="auto"/>
          </w:tcPr>
          <w:p w:rsidR="008001B2" w:rsidRPr="008001B2" w:rsidRDefault="00746F7B" w:rsidP="008001B2">
            <w:pPr>
              <w:spacing w:after="60"/>
              <w:contextualSpacing/>
              <w:rPr>
                <w:szCs w:val="24"/>
              </w:rPr>
            </w:pPr>
            <w:r w:rsidRPr="00746F7B">
              <w:rPr>
                <w:szCs w:val="24"/>
              </w:rPr>
              <w:t xml:space="preserve">Informowanie </w:t>
            </w:r>
            <w:r>
              <w:rPr>
                <w:szCs w:val="24"/>
              </w:rPr>
              <w:t xml:space="preserve">sprawców przemocy </w:t>
            </w:r>
            <w:r w:rsidRPr="00746F7B">
              <w:rPr>
                <w:szCs w:val="24"/>
              </w:rPr>
              <w:t xml:space="preserve">o konsekwencjach </w:t>
            </w:r>
            <w:r>
              <w:rPr>
                <w:szCs w:val="24"/>
              </w:rPr>
              <w:t xml:space="preserve">jej </w:t>
            </w:r>
            <w:r w:rsidRPr="00746F7B">
              <w:rPr>
                <w:szCs w:val="24"/>
              </w:rPr>
              <w:t>stosowania przemocy, możliwościach podjęcia leczenia lub terapii dla osób uzależnionych od substancji psychoaktywnych, a także o możliwościach udziału w programach oddziaływań korekcyjno-edukacyjnych dla osób stosujących przemoc w rodzinie</w:t>
            </w:r>
          </w:p>
        </w:tc>
      </w:tr>
      <w:tr w:rsidR="008001B2" w:rsidRPr="008001B2" w:rsidTr="00F830F6">
        <w:trPr>
          <w:trHeight w:val="635"/>
        </w:trPr>
        <w:tc>
          <w:tcPr>
            <w:tcW w:w="664" w:type="dxa"/>
            <w:shd w:val="clear" w:color="auto" w:fill="auto"/>
          </w:tcPr>
          <w:p w:rsidR="008001B2" w:rsidRPr="008001B2" w:rsidRDefault="008001B2" w:rsidP="008001B2">
            <w:pPr>
              <w:spacing w:after="60"/>
              <w:jc w:val="center"/>
            </w:pPr>
            <w:r>
              <w:t>6.</w:t>
            </w:r>
          </w:p>
        </w:tc>
        <w:tc>
          <w:tcPr>
            <w:tcW w:w="8349" w:type="dxa"/>
            <w:shd w:val="clear" w:color="auto" w:fill="auto"/>
          </w:tcPr>
          <w:p w:rsidR="008001B2" w:rsidRPr="008001B2" w:rsidRDefault="00746F7B" w:rsidP="008001B2">
            <w:pPr>
              <w:spacing w:after="60"/>
              <w:contextualSpacing/>
              <w:rPr>
                <w:szCs w:val="24"/>
              </w:rPr>
            </w:pPr>
            <w:r>
              <w:rPr>
                <w:szCs w:val="24"/>
              </w:rPr>
              <w:t>Realizacja, w razie potrzeby, programów korekcyjno-edukacyjnych dla sprawców przemocy.</w:t>
            </w:r>
          </w:p>
        </w:tc>
      </w:tr>
      <w:tr w:rsidR="008001B2" w:rsidRPr="008001B2" w:rsidTr="00F830F6">
        <w:trPr>
          <w:trHeight w:val="925"/>
        </w:trPr>
        <w:tc>
          <w:tcPr>
            <w:tcW w:w="9014" w:type="dxa"/>
            <w:gridSpan w:val="2"/>
            <w:shd w:val="clear" w:color="auto" w:fill="D9E2F3" w:themeFill="accent1" w:themeFillTint="33"/>
            <w:vAlign w:val="center"/>
          </w:tcPr>
          <w:p w:rsidR="008001B2" w:rsidRPr="008001B2" w:rsidRDefault="008001B2" w:rsidP="008001B2">
            <w:pPr>
              <w:spacing w:after="60"/>
              <w:jc w:val="center"/>
              <w:rPr>
                <w:b/>
              </w:rPr>
            </w:pPr>
            <w:r w:rsidRPr="008001B2">
              <w:rPr>
                <w:b/>
                <w:shd w:val="clear" w:color="auto" w:fill="D9E2F3" w:themeFill="accent1" w:themeFillTint="33"/>
              </w:rPr>
              <w:lastRenderedPageBreak/>
              <w:t>Cel szczegółowy 3.</w:t>
            </w:r>
            <w:r w:rsidRPr="008001B2">
              <w:rPr>
                <w:b/>
                <w:shd w:val="clear" w:color="auto" w:fill="E7E6E6"/>
              </w:rPr>
              <w:br/>
            </w:r>
            <w:r w:rsidRPr="008001B2">
              <w:rPr>
                <w:b/>
              </w:rPr>
              <w:t>Wzmocnienie potencjału oraz współpracy osób, instytucji i organizacji zaangażowanych w przeciwdziałanie przemocy w rodzinie</w:t>
            </w:r>
          </w:p>
        </w:tc>
      </w:tr>
      <w:tr w:rsidR="008001B2" w:rsidRPr="008001B2" w:rsidTr="00F830F6">
        <w:trPr>
          <w:trHeight w:val="1033"/>
        </w:trPr>
        <w:tc>
          <w:tcPr>
            <w:tcW w:w="664" w:type="dxa"/>
            <w:shd w:val="clear" w:color="auto" w:fill="auto"/>
          </w:tcPr>
          <w:p w:rsidR="008001B2" w:rsidRPr="008001B2" w:rsidRDefault="008001B2" w:rsidP="008001B2">
            <w:pPr>
              <w:spacing w:after="60"/>
              <w:jc w:val="center"/>
            </w:pPr>
            <w:r w:rsidRPr="008001B2">
              <w:t>1.</w:t>
            </w:r>
          </w:p>
        </w:tc>
        <w:tc>
          <w:tcPr>
            <w:tcW w:w="8349" w:type="dxa"/>
            <w:shd w:val="clear" w:color="auto" w:fill="auto"/>
          </w:tcPr>
          <w:p w:rsidR="008001B2" w:rsidRPr="008001B2" w:rsidRDefault="00746F7B" w:rsidP="008001B2">
            <w:pPr>
              <w:spacing w:after="60"/>
            </w:pPr>
            <w:r w:rsidRPr="00746F7B">
              <w:t xml:space="preserve">Udział osób zaangażowanych w działania realizowane w ramach Programu </w:t>
            </w:r>
            <w:r w:rsidR="00F830F6">
              <w:br/>
            </w:r>
            <w:r w:rsidRPr="00746F7B">
              <w:t>w seminariach, konferencjach, wizytach studyjnych i innych formach edukacji dotyczących przemocy w rodzinie.</w:t>
            </w:r>
          </w:p>
        </w:tc>
      </w:tr>
      <w:tr w:rsidR="008001B2" w:rsidRPr="008001B2" w:rsidTr="00F830F6">
        <w:trPr>
          <w:trHeight w:val="715"/>
        </w:trPr>
        <w:tc>
          <w:tcPr>
            <w:tcW w:w="664" w:type="dxa"/>
            <w:shd w:val="clear" w:color="auto" w:fill="auto"/>
          </w:tcPr>
          <w:p w:rsidR="008001B2" w:rsidRPr="008001B2" w:rsidRDefault="008001B2" w:rsidP="008001B2">
            <w:pPr>
              <w:spacing w:after="60"/>
              <w:jc w:val="center"/>
            </w:pPr>
            <w:r w:rsidRPr="008001B2">
              <w:t>2.</w:t>
            </w:r>
          </w:p>
        </w:tc>
        <w:tc>
          <w:tcPr>
            <w:tcW w:w="8349" w:type="dxa"/>
            <w:shd w:val="clear" w:color="auto" w:fill="auto"/>
          </w:tcPr>
          <w:p w:rsidR="008001B2" w:rsidRPr="008001B2" w:rsidRDefault="00746F7B" w:rsidP="008001B2">
            <w:pPr>
              <w:spacing w:after="60"/>
            </w:pPr>
            <w:r w:rsidRPr="00746F7B">
              <w:t xml:space="preserve">Wspieranie kadry specjalistów zajmujących się przemocą w rodzinie oraz interwencją kryzysową w postaci </w:t>
            </w:r>
            <w:proofErr w:type="spellStart"/>
            <w:r w:rsidRPr="00746F7B">
              <w:t>superwizji</w:t>
            </w:r>
            <w:proofErr w:type="spellEnd"/>
            <w:r w:rsidRPr="00746F7B">
              <w:t xml:space="preserve"> i pomocy psychologicznej.</w:t>
            </w:r>
          </w:p>
        </w:tc>
      </w:tr>
      <w:tr w:rsidR="008001B2" w:rsidRPr="008001B2" w:rsidTr="00F830F6">
        <w:trPr>
          <w:trHeight w:val="1033"/>
        </w:trPr>
        <w:tc>
          <w:tcPr>
            <w:tcW w:w="664" w:type="dxa"/>
            <w:shd w:val="clear" w:color="auto" w:fill="auto"/>
          </w:tcPr>
          <w:p w:rsidR="008001B2" w:rsidRPr="008001B2" w:rsidRDefault="008001B2" w:rsidP="008001B2">
            <w:pPr>
              <w:spacing w:after="60"/>
              <w:jc w:val="center"/>
            </w:pPr>
            <w:r w:rsidRPr="008001B2">
              <w:t>3.</w:t>
            </w:r>
          </w:p>
        </w:tc>
        <w:tc>
          <w:tcPr>
            <w:tcW w:w="8349" w:type="dxa"/>
            <w:shd w:val="clear" w:color="auto" w:fill="auto"/>
          </w:tcPr>
          <w:p w:rsidR="008001B2" w:rsidRPr="008001B2" w:rsidRDefault="00746F7B" w:rsidP="008001B2">
            <w:pPr>
              <w:spacing w:after="60"/>
            </w:pPr>
            <w:r w:rsidRPr="00746F7B">
              <w:t xml:space="preserve">Organizacja interdyscyplinarnych spotkań, warsztatów, seminariów, debat i innych form wymiany doświadczeń w ramach </w:t>
            </w:r>
            <w:r>
              <w:t>powiatowego</w:t>
            </w:r>
            <w:r w:rsidRPr="00746F7B">
              <w:t xml:space="preserve"> systemu przeciwdziałania przemocy w rodzinie</w:t>
            </w:r>
          </w:p>
        </w:tc>
      </w:tr>
      <w:tr w:rsidR="008001B2" w:rsidRPr="008001B2" w:rsidTr="00F830F6">
        <w:trPr>
          <w:trHeight w:val="1033"/>
        </w:trPr>
        <w:tc>
          <w:tcPr>
            <w:tcW w:w="664" w:type="dxa"/>
            <w:shd w:val="clear" w:color="auto" w:fill="auto"/>
          </w:tcPr>
          <w:p w:rsidR="008001B2" w:rsidRPr="008001B2" w:rsidRDefault="008001B2" w:rsidP="008001B2">
            <w:pPr>
              <w:spacing w:after="60"/>
              <w:jc w:val="center"/>
            </w:pPr>
            <w:r w:rsidRPr="008001B2">
              <w:t>4.</w:t>
            </w:r>
          </w:p>
        </w:tc>
        <w:tc>
          <w:tcPr>
            <w:tcW w:w="8349" w:type="dxa"/>
            <w:shd w:val="clear" w:color="auto" w:fill="auto"/>
          </w:tcPr>
          <w:p w:rsidR="008001B2" w:rsidRPr="008001B2" w:rsidRDefault="00746F7B" w:rsidP="008001B2">
            <w:pPr>
              <w:spacing w:after="60"/>
              <w:rPr>
                <w:szCs w:val="24"/>
              </w:rPr>
            </w:pPr>
            <w:r w:rsidRPr="00746F7B">
              <w:rPr>
                <w:szCs w:val="24"/>
              </w:rPr>
              <w:t xml:space="preserve">Nawiązywanie i wzmacnianie współpracy z organizacjami pozarządowymi, </w:t>
            </w:r>
            <w:r w:rsidR="00111F78">
              <w:rPr>
                <w:szCs w:val="24"/>
              </w:rPr>
              <w:t xml:space="preserve">                         </w:t>
            </w:r>
            <w:r w:rsidRPr="00746F7B">
              <w:rPr>
                <w:szCs w:val="24"/>
              </w:rPr>
              <w:t>m.in. w zakresie realizacji wspólnych przedsięwzięć służących przeciwdziałaniu przemocy w rodzinie oraz wsparciu osób i rodzin dotkniętych przemocą</w:t>
            </w:r>
          </w:p>
        </w:tc>
      </w:tr>
    </w:tbl>
    <w:p w:rsidR="008001B2" w:rsidRDefault="008001B2" w:rsidP="00C068A7"/>
    <w:p w:rsidR="008001B2" w:rsidRPr="008001B2" w:rsidRDefault="008001B2" w:rsidP="008001B2">
      <w:pPr>
        <w:spacing w:after="60"/>
      </w:pPr>
      <w:r w:rsidRPr="008001B2">
        <w:t>Wszystkie działania mają charakter ciągły i będą realizowane w całym okresie obowiązywania Programu, tj. w latach 2022-202</w:t>
      </w:r>
      <w:r>
        <w:t>6</w:t>
      </w:r>
      <w:r w:rsidRPr="008001B2">
        <w:t>.</w:t>
      </w:r>
    </w:p>
    <w:p w:rsidR="008001B2" w:rsidRPr="008001B2" w:rsidRDefault="008001B2" w:rsidP="008001B2">
      <w:pPr>
        <w:spacing w:after="60"/>
        <w:rPr>
          <w:sz w:val="12"/>
          <w:szCs w:val="10"/>
        </w:rPr>
      </w:pPr>
    </w:p>
    <w:p w:rsidR="008001B2" w:rsidRPr="008001B2" w:rsidRDefault="008001B2" w:rsidP="008001B2">
      <w:pPr>
        <w:spacing w:after="60"/>
      </w:pPr>
      <w:r w:rsidRPr="008001B2">
        <w:t>Oczekiwane rezultaty podjętych działań to:</w:t>
      </w:r>
    </w:p>
    <w:p w:rsidR="000D257D" w:rsidRPr="000D257D" w:rsidRDefault="000D257D" w:rsidP="000D257D">
      <w:pPr>
        <w:pStyle w:val="Akapitzlist"/>
        <w:numPr>
          <w:ilvl w:val="0"/>
          <w:numId w:val="40"/>
        </w:numPr>
        <w:spacing w:after="60"/>
        <w:ind w:left="714" w:hanging="357"/>
        <w:contextualSpacing w:val="0"/>
      </w:pPr>
      <w:r w:rsidRPr="000D257D">
        <w:t>Zwiększenie</w:t>
      </w:r>
      <w:r w:rsidR="005C5830" w:rsidRPr="000D257D">
        <w:t xml:space="preserve"> wiedzy społeczeństwa o zjawisku przemocy w rodzinie</w:t>
      </w:r>
      <w:r w:rsidRPr="000D257D">
        <w:t>.</w:t>
      </w:r>
    </w:p>
    <w:p w:rsidR="000D257D" w:rsidRPr="000D257D" w:rsidRDefault="000D257D" w:rsidP="000D257D">
      <w:pPr>
        <w:pStyle w:val="Akapitzlist"/>
        <w:numPr>
          <w:ilvl w:val="0"/>
          <w:numId w:val="40"/>
        </w:numPr>
        <w:spacing w:after="60"/>
        <w:ind w:left="714" w:hanging="357"/>
        <w:contextualSpacing w:val="0"/>
      </w:pPr>
      <w:r w:rsidRPr="000D257D">
        <w:t xml:space="preserve">Wzrost </w:t>
      </w:r>
      <w:r w:rsidR="005C5830" w:rsidRPr="000D257D">
        <w:t xml:space="preserve">społecznej wrażliwości i zaangażowania w przeciwdziałanie przemocy </w:t>
      </w:r>
      <w:r w:rsidR="00F830F6">
        <w:br/>
      </w:r>
      <w:r w:rsidR="005C5830" w:rsidRPr="000D257D">
        <w:t>w rodzinie.</w:t>
      </w:r>
    </w:p>
    <w:p w:rsidR="000D257D" w:rsidRPr="000D257D" w:rsidRDefault="005C5830" w:rsidP="000D257D">
      <w:pPr>
        <w:pStyle w:val="Akapitzlist"/>
        <w:numPr>
          <w:ilvl w:val="0"/>
          <w:numId w:val="40"/>
        </w:numPr>
        <w:spacing w:after="60"/>
        <w:ind w:left="714" w:hanging="357"/>
        <w:contextualSpacing w:val="0"/>
      </w:pPr>
      <w:r w:rsidRPr="000D257D">
        <w:t>Zapobieżenie powstawaniu mechanizmów przemocy domowej w rodzinach doświadczających trudności w funkcjonowaniu.</w:t>
      </w:r>
    </w:p>
    <w:p w:rsidR="000D257D" w:rsidRPr="000D257D" w:rsidRDefault="00746F7B" w:rsidP="000D257D">
      <w:pPr>
        <w:pStyle w:val="Akapitzlist"/>
        <w:numPr>
          <w:ilvl w:val="0"/>
          <w:numId w:val="40"/>
        </w:numPr>
        <w:spacing w:after="60"/>
        <w:ind w:left="714" w:hanging="357"/>
        <w:contextualSpacing w:val="0"/>
      </w:pPr>
      <w:r w:rsidRPr="000D257D">
        <w:t xml:space="preserve">Zwiększenie skuteczności ochrony ofiar przemocy w rodzinie oraz dostępności różnorodnych form specjalistycznej pomocy. </w:t>
      </w:r>
    </w:p>
    <w:p w:rsidR="000D257D" w:rsidRPr="000D257D" w:rsidRDefault="00746F7B" w:rsidP="000D257D">
      <w:pPr>
        <w:pStyle w:val="Akapitzlist"/>
        <w:numPr>
          <w:ilvl w:val="0"/>
          <w:numId w:val="40"/>
        </w:numPr>
        <w:spacing w:after="60"/>
        <w:ind w:left="714" w:hanging="357"/>
        <w:contextualSpacing w:val="0"/>
      </w:pPr>
      <w:r w:rsidRPr="000D257D">
        <w:t>Wzmocnienie oddziaływań interwencyjnych, korekcyjnych i edukacyjnych wobec osób stosujących przemoc.</w:t>
      </w:r>
    </w:p>
    <w:p w:rsidR="000D257D" w:rsidRPr="000D257D" w:rsidRDefault="000D257D" w:rsidP="000D257D">
      <w:pPr>
        <w:pStyle w:val="Akapitzlist"/>
        <w:numPr>
          <w:ilvl w:val="0"/>
          <w:numId w:val="40"/>
        </w:numPr>
        <w:spacing w:after="60"/>
        <w:ind w:left="714" w:hanging="357"/>
        <w:contextualSpacing w:val="0"/>
      </w:pPr>
      <w:r w:rsidRPr="000D257D">
        <w:t xml:space="preserve">Podniesienie kompetencji pracowników instytucji realizujących działania z zakresu przeciwdziałania przemocy w rodzinie. </w:t>
      </w:r>
    </w:p>
    <w:p w:rsidR="000D257D" w:rsidRPr="000D257D" w:rsidRDefault="000D257D" w:rsidP="000D257D">
      <w:pPr>
        <w:pStyle w:val="Akapitzlist"/>
        <w:numPr>
          <w:ilvl w:val="0"/>
          <w:numId w:val="40"/>
        </w:numPr>
        <w:spacing w:after="60"/>
        <w:ind w:left="714" w:hanging="357"/>
        <w:contextualSpacing w:val="0"/>
      </w:pPr>
      <w:r w:rsidRPr="000D257D">
        <w:t>Wzmocnienie współpracy między instytucjami i organizacjami działającymi na rzecz przeciwdziałania przemocy w rodzinie w powiecie lidzbarskim.</w:t>
      </w:r>
    </w:p>
    <w:p w:rsidR="008001B2" w:rsidRPr="000D257D" w:rsidRDefault="000D257D" w:rsidP="000D257D">
      <w:pPr>
        <w:pStyle w:val="Akapitzlist"/>
        <w:numPr>
          <w:ilvl w:val="0"/>
          <w:numId w:val="40"/>
        </w:numPr>
        <w:spacing w:after="60"/>
        <w:ind w:left="714" w:hanging="357"/>
        <w:contextualSpacing w:val="0"/>
      </w:pPr>
      <w:r w:rsidRPr="000D257D">
        <w:t>Usprawnienie procedur w zakresie wymiany informacji oraz współpracy pomiędzy instytucjami tworzącymi system pomocy i wsparcia.</w:t>
      </w:r>
    </w:p>
    <w:p w:rsidR="008001B2" w:rsidRPr="008001B2" w:rsidRDefault="008001B2" w:rsidP="00C068A7"/>
    <w:p w:rsidR="00C068A7" w:rsidRPr="00770BAD" w:rsidRDefault="00C068A7" w:rsidP="00C068A7">
      <w:pPr>
        <w:spacing w:after="240"/>
        <w:rPr>
          <w:highlight w:val="yellow"/>
        </w:rPr>
      </w:pPr>
    </w:p>
    <w:p w:rsidR="00C068A7" w:rsidRPr="00770BAD" w:rsidRDefault="00C068A7" w:rsidP="00C068A7">
      <w:pPr>
        <w:rPr>
          <w:highlight w:val="yellow"/>
        </w:rPr>
      </w:pPr>
    </w:p>
    <w:p w:rsidR="00C068A7" w:rsidRPr="00770BAD" w:rsidRDefault="00C068A7" w:rsidP="00597C37">
      <w:pPr>
        <w:spacing w:after="240"/>
        <w:rPr>
          <w:highlight w:val="yellow"/>
        </w:rPr>
      </w:pPr>
    </w:p>
    <w:p w:rsidR="000D257D" w:rsidRDefault="000D257D">
      <w:pPr>
        <w:spacing w:after="0"/>
        <w:jc w:val="left"/>
        <w:rPr>
          <w:rFonts w:eastAsia="Times New Roman"/>
          <w:b/>
          <w:color w:val="000000"/>
          <w:sz w:val="28"/>
          <w:szCs w:val="32"/>
          <w:highlight w:val="yellow"/>
        </w:rPr>
      </w:pPr>
      <w:bookmarkStart w:id="14" w:name="_Toc469934529"/>
      <w:r>
        <w:rPr>
          <w:highlight w:val="yellow"/>
        </w:rPr>
        <w:br w:type="page"/>
      </w:r>
    </w:p>
    <w:p w:rsidR="00C068A7" w:rsidRPr="000D257D" w:rsidRDefault="00C068A7" w:rsidP="00C277A3">
      <w:pPr>
        <w:pStyle w:val="Nagwek1"/>
        <w:numPr>
          <w:ilvl w:val="0"/>
          <w:numId w:val="42"/>
        </w:numPr>
        <w:ind w:left="284" w:hanging="284"/>
      </w:pPr>
      <w:bookmarkStart w:id="15" w:name="_Toc86158836"/>
      <w:r w:rsidRPr="000D257D">
        <w:lastRenderedPageBreak/>
        <w:t>Monitoring Programu</w:t>
      </w:r>
      <w:bookmarkEnd w:id="14"/>
      <w:bookmarkEnd w:id="15"/>
    </w:p>
    <w:p w:rsidR="00C068A7" w:rsidRPr="000D257D" w:rsidRDefault="00C068A7" w:rsidP="00C068A7">
      <w:r w:rsidRPr="000D257D">
        <w:t xml:space="preserve">Monitoring </w:t>
      </w:r>
      <w:r w:rsidR="000D257D" w:rsidRPr="000D257D">
        <w:t xml:space="preserve">Programu będzie prowadzony corocznie przez Powiatowe Centrum Pomocy Rodzinie w Lidzbarku Warmińskim z siedzibą w Ornecie. </w:t>
      </w:r>
      <w:r w:rsidRPr="000D257D">
        <w:t>Weryfikacji będą podlegać przynajmniej wymienione niżej wskaźniki:</w:t>
      </w:r>
    </w:p>
    <w:p w:rsidR="00C068A7" w:rsidRPr="000D257D" w:rsidRDefault="00C068A7" w:rsidP="00157B44">
      <w:pPr>
        <w:numPr>
          <w:ilvl w:val="0"/>
          <w:numId w:val="21"/>
        </w:numPr>
        <w:spacing w:after="60"/>
        <w:ind w:hanging="436"/>
      </w:pPr>
      <w:r w:rsidRPr="000D257D">
        <w:t>Liczba rodzin oraz osób w rodzinach objętych pomocą społeczną z powodu przemocy w rodzinie.</w:t>
      </w:r>
    </w:p>
    <w:p w:rsidR="00C068A7" w:rsidRPr="000D257D" w:rsidRDefault="00C068A7" w:rsidP="00157B44">
      <w:pPr>
        <w:numPr>
          <w:ilvl w:val="0"/>
          <w:numId w:val="21"/>
        </w:numPr>
        <w:spacing w:after="60"/>
        <w:ind w:hanging="436"/>
      </w:pPr>
      <w:r w:rsidRPr="000D257D">
        <w:t>Liczba rodzin</w:t>
      </w:r>
      <w:r w:rsidR="000D257D" w:rsidRPr="000D257D">
        <w:t xml:space="preserve"> objętych procedurą </w:t>
      </w:r>
      <w:r w:rsidRPr="000D257D">
        <w:t>„Niebieskie Karty”</w:t>
      </w:r>
      <w:r w:rsidR="000D257D" w:rsidRPr="000D257D">
        <w:t>.</w:t>
      </w:r>
    </w:p>
    <w:p w:rsidR="00C068A7" w:rsidRPr="000D257D" w:rsidRDefault="00C068A7" w:rsidP="00157B44">
      <w:pPr>
        <w:numPr>
          <w:ilvl w:val="0"/>
          <w:numId w:val="21"/>
        </w:numPr>
        <w:spacing w:after="60"/>
        <w:ind w:hanging="436"/>
      </w:pPr>
      <w:r w:rsidRPr="000D257D">
        <w:t xml:space="preserve">Liczba zakończonych procedur NK ogółem, w tym w związku z ustaniem przemocy </w:t>
      </w:r>
      <w:r w:rsidR="00F830F6">
        <w:br/>
      </w:r>
      <w:r w:rsidRPr="000D257D">
        <w:t>w rodzinie</w:t>
      </w:r>
      <w:r w:rsidR="000D257D" w:rsidRPr="000D257D">
        <w:t xml:space="preserve"> oraz</w:t>
      </w:r>
      <w:r w:rsidRPr="000D257D">
        <w:t xml:space="preserve"> rozstrzygnięciem o braku zasadności podejmowania działań.</w:t>
      </w:r>
    </w:p>
    <w:p w:rsidR="00C068A7" w:rsidRPr="000D257D" w:rsidRDefault="00C068A7" w:rsidP="00157B44">
      <w:pPr>
        <w:numPr>
          <w:ilvl w:val="0"/>
          <w:numId w:val="21"/>
        </w:numPr>
        <w:spacing w:after="60"/>
        <w:ind w:hanging="436"/>
      </w:pPr>
      <w:r w:rsidRPr="000D257D">
        <w:t>Liczba rodzin i osób objętych pomocą grup roboczych</w:t>
      </w:r>
      <w:r w:rsidR="000D257D" w:rsidRPr="000D257D">
        <w:t>.</w:t>
      </w:r>
    </w:p>
    <w:p w:rsidR="00C068A7" w:rsidRPr="000D257D" w:rsidRDefault="00C068A7" w:rsidP="00157B44">
      <w:pPr>
        <w:numPr>
          <w:ilvl w:val="0"/>
          <w:numId w:val="21"/>
        </w:numPr>
        <w:spacing w:after="60"/>
        <w:ind w:hanging="436"/>
      </w:pPr>
      <w:r w:rsidRPr="000D257D">
        <w:t>Liczba akcji i kampanii społecznych</w:t>
      </w:r>
      <w:r w:rsidR="000D257D" w:rsidRPr="000D257D">
        <w:t xml:space="preserve"> na terenie powiatu </w:t>
      </w:r>
      <w:r w:rsidRPr="000D257D">
        <w:t xml:space="preserve">dotyczących przemocy </w:t>
      </w:r>
      <w:r w:rsidR="00F830F6">
        <w:br/>
      </w:r>
      <w:r w:rsidRPr="000D257D">
        <w:t>w rodzinie</w:t>
      </w:r>
      <w:r w:rsidR="000D257D" w:rsidRPr="000D257D">
        <w:t>.</w:t>
      </w:r>
    </w:p>
    <w:p w:rsidR="00C068A7" w:rsidRPr="000D257D" w:rsidRDefault="00C068A7" w:rsidP="00157B44">
      <w:pPr>
        <w:numPr>
          <w:ilvl w:val="0"/>
          <w:numId w:val="21"/>
        </w:numPr>
        <w:spacing w:after="60"/>
        <w:ind w:hanging="436"/>
      </w:pPr>
      <w:r w:rsidRPr="000D257D">
        <w:t>Liczba osób, które uczestniczyły w programach profilaktycznych dotyczących problemu przemocy w rodzinie.</w:t>
      </w:r>
    </w:p>
    <w:p w:rsidR="00C068A7" w:rsidRPr="000D257D" w:rsidRDefault="00C068A7" w:rsidP="00157B44">
      <w:pPr>
        <w:numPr>
          <w:ilvl w:val="0"/>
          <w:numId w:val="21"/>
        </w:numPr>
        <w:spacing w:after="60"/>
        <w:ind w:hanging="436"/>
      </w:pPr>
      <w:r w:rsidRPr="000D257D">
        <w:t>Liczba osób</w:t>
      </w:r>
      <w:r w:rsidR="00794C3D">
        <w:t xml:space="preserve"> </w:t>
      </w:r>
      <w:r w:rsidRPr="000D257D">
        <w:t xml:space="preserve">dotkniętych lub zagrożonych przemocą w rodzinie, które skorzystały </w:t>
      </w:r>
      <w:r w:rsidR="00F830F6">
        <w:br/>
      </w:r>
      <w:r w:rsidRPr="000D257D">
        <w:t>z poradnictwa</w:t>
      </w:r>
      <w:r w:rsidR="000D257D" w:rsidRPr="000D257D">
        <w:t>.</w:t>
      </w:r>
    </w:p>
    <w:p w:rsidR="00C068A7" w:rsidRPr="000D257D" w:rsidRDefault="00C068A7" w:rsidP="00157B44">
      <w:pPr>
        <w:numPr>
          <w:ilvl w:val="0"/>
          <w:numId w:val="21"/>
        </w:numPr>
        <w:spacing w:after="60"/>
        <w:ind w:hanging="436"/>
      </w:pPr>
      <w:r w:rsidRPr="000D257D">
        <w:t>Liczba osób stosujących przemoc w rodzinie skierowanych do udziału w programach oddziaływań korekcyjno-edukacyjnych.</w:t>
      </w:r>
    </w:p>
    <w:p w:rsidR="00C068A7" w:rsidRPr="000D257D" w:rsidRDefault="00C068A7" w:rsidP="00157B44">
      <w:pPr>
        <w:numPr>
          <w:ilvl w:val="0"/>
          <w:numId w:val="21"/>
        </w:numPr>
        <w:spacing w:after="60"/>
      </w:pPr>
      <w:r w:rsidRPr="000D257D">
        <w:t>Liczba zorganizowanych wspólnych spotkań, warsztatów, szkoleń itp. dla podmiotów lokalnych realizujących działania z zakresu przeciwdziałania przemocy w rodzinie.</w:t>
      </w:r>
    </w:p>
    <w:p w:rsidR="00C068A7" w:rsidRPr="000D257D" w:rsidRDefault="00C068A7" w:rsidP="00157B44">
      <w:pPr>
        <w:numPr>
          <w:ilvl w:val="0"/>
          <w:numId w:val="21"/>
        </w:numPr>
        <w:ind w:left="714" w:hanging="357"/>
      </w:pPr>
      <w:r w:rsidRPr="000D257D">
        <w:t xml:space="preserve">Liczba osób profesjonalnie zajmujących się pracą z rodzinami dotkniętymi przemocą, korzystających z pomocy psychologicznej, </w:t>
      </w:r>
      <w:proofErr w:type="spellStart"/>
      <w:r w:rsidRPr="000D257D">
        <w:t>superwizji</w:t>
      </w:r>
      <w:proofErr w:type="spellEnd"/>
      <w:r w:rsidRPr="000D257D">
        <w:t xml:space="preserve"> i innych form wsparcia.</w:t>
      </w:r>
    </w:p>
    <w:p w:rsidR="00C068A7" w:rsidRPr="000D257D" w:rsidRDefault="00C068A7" w:rsidP="00C068A7">
      <w:r w:rsidRPr="000D257D">
        <w:t xml:space="preserve">Wskaźniki obrazują ilościowy aspekt działań, dlatego też ważne będzie, aby w raportach </w:t>
      </w:r>
      <w:r w:rsidR="00F830F6">
        <w:br/>
      </w:r>
      <w:r w:rsidRPr="000D257D">
        <w:t>z monitoringu umieszczać również opis tego, co zostało faktycznie wykonane. Źródłem danych będą rejestry i sprawozdania instytucji publicznych, w szczególności jednostek organizacyjnych powiatu i gmin</w:t>
      </w:r>
      <w:r w:rsidR="000D257D" w:rsidRPr="000D257D">
        <w:t xml:space="preserve">, </w:t>
      </w:r>
      <w:r w:rsidRPr="000D257D">
        <w:t xml:space="preserve">a także informacje udostępnione przez podmioty niepubliczne, zwłaszcza te, które realizują zadania w zakresie przeciwdziałania przemocy </w:t>
      </w:r>
      <w:r w:rsidR="00F830F6">
        <w:br/>
      </w:r>
      <w:r w:rsidRPr="000D257D">
        <w:t>w rodzinie przekazane im przez organy administracji rządowej lub samorządy.</w:t>
      </w:r>
    </w:p>
    <w:p w:rsidR="000D257D" w:rsidRDefault="000D257D">
      <w:pPr>
        <w:spacing w:after="0"/>
        <w:jc w:val="left"/>
        <w:rPr>
          <w:rFonts w:eastAsia="Times New Roman"/>
          <w:b/>
          <w:color w:val="000000"/>
          <w:sz w:val="28"/>
          <w:szCs w:val="32"/>
          <w:highlight w:val="yellow"/>
        </w:rPr>
      </w:pPr>
      <w:bookmarkStart w:id="16" w:name="_Toc469934530"/>
      <w:r>
        <w:rPr>
          <w:highlight w:val="yellow"/>
        </w:rPr>
        <w:br w:type="page"/>
      </w:r>
    </w:p>
    <w:p w:rsidR="00C068A7" w:rsidRPr="000D257D" w:rsidRDefault="00C068A7" w:rsidP="000D257D">
      <w:pPr>
        <w:pStyle w:val="Nagwek1"/>
        <w:numPr>
          <w:ilvl w:val="0"/>
          <w:numId w:val="41"/>
        </w:numPr>
        <w:ind w:left="284" w:hanging="284"/>
      </w:pPr>
      <w:bookmarkStart w:id="17" w:name="_Toc86158837"/>
      <w:r w:rsidRPr="000D257D">
        <w:lastRenderedPageBreak/>
        <w:t>Źródła finansowania</w:t>
      </w:r>
      <w:bookmarkEnd w:id="16"/>
      <w:bookmarkEnd w:id="17"/>
    </w:p>
    <w:p w:rsidR="00C068A7" w:rsidRPr="000D257D" w:rsidRDefault="00C068A7" w:rsidP="00C068A7">
      <w:r w:rsidRPr="000D257D">
        <w:t xml:space="preserve">Działania zaplanowane do realizacji w </w:t>
      </w:r>
      <w:r w:rsidR="000D257D" w:rsidRPr="00936640">
        <w:rPr>
          <w:i/>
          <w:iCs/>
        </w:rPr>
        <w:t>Powiatowy</w:t>
      </w:r>
      <w:r w:rsidR="000D257D" w:rsidRPr="000D257D">
        <w:rPr>
          <w:i/>
          <w:iCs/>
        </w:rPr>
        <w:t>m</w:t>
      </w:r>
      <w:r w:rsidR="000D257D" w:rsidRPr="00936640">
        <w:rPr>
          <w:i/>
          <w:iCs/>
        </w:rPr>
        <w:t xml:space="preserve"> Program</w:t>
      </w:r>
      <w:r w:rsidR="000D257D" w:rsidRPr="000D257D">
        <w:rPr>
          <w:i/>
          <w:iCs/>
        </w:rPr>
        <w:t>ie</w:t>
      </w:r>
      <w:r w:rsidR="000D257D" w:rsidRPr="00936640">
        <w:rPr>
          <w:i/>
          <w:iCs/>
        </w:rPr>
        <w:t xml:space="preserve"> Przeciwdziałania Przemocy </w:t>
      </w:r>
      <w:r w:rsidR="00732179">
        <w:rPr>
          <w:i/>
          <w:iCs/>
        </w:rPr>
        <w:t xml:space="preserve">                       </w:t>
      </w:r>
      <w:r w:rsidR="000D257D" w:rsidRPr="00936640">
        <w:rPr>
          <w:i/>
          <w:iCs/>
        </w:rPr>
        <w:t>w Rodzinie oraz Ochrony Ofiar Przemocy w Rodzinie na lata 2022-2026</w:t>
      </w:r>
      <w:r w:rsidR="00732179">
        <w:rPr>
          <w:i/>
          <w:iCs/>
        </w:rPr>
        <w:t xml:space="preserve"> </w:t>
      </w:r>
      <w:r w:rsidRPr="000D257D">
        <w:t xml:space="preserve">będą finansowane przede wszystkim z budżetu samorządu </w:t>
      </w:r>
      <w:r w:rsidR="00B47ED8" w:rsidRPr="000D257D">
        <w:t>powiatu oraz samorządów gminnych</w:t>
      </w:r>
      <w:r w:rsidRPr="000D257D">
        <w:t xml:space="preserve"> w zakresie działań realizowanych przez </w:t>
      </w:r>
      <w:r w:rsidR="00B47ED8" w:rsidRPr="000D257D">
        <w:t xml:space="preserve">ich </w:t>
      </w:r>
      <w:r w:rsidRPr="000D257D">
        <w:t>jednostki organizacyjne (</w:t>
      </w:r>
      <w:r w:rsidR="00B47ED8" w:rsidRPr="000D257D">
        <w:t xml:space="preserve">PCPR, </w:t>
      </w:r>
      <w:r w:rsidRPr="000D257D">
        <w:t xml:space="preserve">OPS, GKRPA, szkoły) </w:t>
      </w:r>
      <w:r w:rsidR="00732179">
        <w:t xml:space="preserve">                                                               </w:t>
      </w:r>
      <w:r w:rsidRPr="000D257D">
        <w:t xml:space="preserve">w ramach swoich podstawowych, statutowych zadań.  Środki na realizację zadań będą pochodzić również z budżetu państwa. </w:t>
      </w:r>
      <w:r w:rsidR="00732179">
        <w:t xml:space="preserve">Możliwe będzie pozyskiwanie środków z konkursów </w:t>
      </w:r>
      <w:r w:rsidRPr="000D257D">
        <w:t xml:space="preserve"> </w:t>
      </w:r>
      <w:r w:rsidR="00732179">
        <w:t>w ramach programów rządowych oraz programów</w:t>
      </w:r>
      <w:r w:rsidRPr="000D257D">
        <w:t xml:space="preserve"> ministerstw</w:t>
      </w:r>
      <w:r w:rsidR="00732179">
        <w:t>a</w:t>
      </w:r>
      <w:r w:rsidRPr="000D257D">
        <w:t xml:space="preserve">. Wśród głównych programów dotyczących przeciwdziałania przemocy w rodzinie można wskazać </w:t>
      </w:r>
      <w:r w:rsidR="000D257D" w:rsidRPr="000D257D">
        <w:t xml:space="preserve">m.in. </w:t>
      </w:r>
      <w:r w:rsidRPr="000D257D">
        <w:rPr>
          <w:i/>
        </w:rPr>
        <w:t>Program Osłonowy Wspieranie jednostek samorządu terytorialnego w tworzeniu systemu przeciwdziałania przemocy w rodzinie</w:t>
      </w:r>
      <w:r w:rsidRPr="000D257D">
        <w:t>.</w:t>
      </w:r>
    </w:p>
    <w:p w:rsidR="000D257D" w:rsidRPr="000D257D" w:rsidRDefault="000D257D" w:rsidP="000D257D">
      <w:r w:rsidRPr="000D257D">
        <w:t xml:space="preserve">Uzupełnienie mogą stanowić środki z Funduszy Europejskich, służące włączeniu społecznemu osób i rodzin zagrożonych wykluczeniem i ubóstwem, rozwojowi aktywności dzieci </w:t>
      </w:r>
      <w:r w:rsidRPr="000D257D">
        <w:br/>
        <w:t>i młodzieży, a także zwiększeniu kompetencji społecznych i zawodowych mieszkańców. Ważne będą także środki prywatne pochodzące z fundacji, zakładanych przez firmy, instytuc</w:t>
      </w:r>
      <w:r w:rsidR="00A47E2F">
        <w:t>ji finansowe lub osoby prywatne,</w:t>
      </w:r>
      <w:r w:rsidRPr="000D257D">
        <w:t xml:space="preserve"> pieniądze od sponsorów, środki z 1% dla organizacji pożytku publicznego, darowizny, zbiórki publiczne i inne. Ta grupa źródeł </w:t>
      </w:r>
      <w:r w:rsidR="00A47E2F">
        <w:t xml:space="preserve">finansowych </w:t>
      </w:r>
      <w:r w:rsidRPr="000D257D">
        <w:t>jest dostępna przede wszystkim dla organiza</w:t>
      </w:r>
      <w:r w:rsidR="00A47E2F">
        <w:t>cji pozarządowych. W</w:t>
      </w:r>
      <w:r w:rsidRPr="000D257D">
        <w:t xml:space="preserve">ymienione wcześniej źródła środków </w:t>
      </w:r>
      <w:r w:rsidR="00A47E2F">
        <w:t xml:space="preserve">                          </w:t>
      </w:r>
      <w:r w:rsidRPr="000D257D">
        <w:t>na realizację zadań zaplanowanych w Programie nie muszą być pozyskiwane wyłącznie przez samorząd gminy. W zależności od specyfiki danego programu pomocowego bądź funduszu, realizatorami projektu mogą być podmioty ekonomii społecznej.</w:t>
      </w:r>
    </w:p>
    <w:p w:rsidR="00C068A7" w:rsidRDefault="00C068A7" w:rsidP="00C068A7">
      <w:r w:rsidRPr="000D257D">
        <w:t>.</w:t>
      </w:r>
    </w:p>
    <w:p w:rsidR="001C2E92" w:rsidRPr="00774626" w:rsidRDefault="001C2E92" w:rsidP="00843950"/>
    <w:sectPr w:rsidR="001C2E92" w:rsidRPr="00774626" w:rsidSect="009756E2">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235" w:rsidRDefault="00507235" w:rsidP="00E235E3">
      <w:pPr>
        <w:spacing w:after="0"/>
      </w:pPr>
      <w:r>
        <w:separator/>
      </w:r>
    </w:p>
  </w:endnote>
  <w:endnote w:type="continuationSeparator" w:id="0">
    <w:p w:rsidR="00507235" w:rsidRDefault="00507235" w:rsidP="00E235E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MS Mincho"/>
    <w:charset w:val="80"/>
    <w:family w:val="auto"/>
    <w:pitch w:val="default"/>
    <w:sig w:usb0="00000000" w:usb1="00000000" w:usb2="00000000" w:usb3="00000000" w:csb0="00000000" w:csb1="00000000"/>
  </w:font>
  <w:font w:name="StarSymbol">
    <w:altName w:val="MS Mincho"/>
    <w:charset w:val="80"/>
    <w:family w:val="auto"/>
    <w:pitch w:val="default"/>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ndale Sans UI">
    <w:charset w:val="00"/>
    <w:family w:val="auto"/>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0E7" w:rsidRDefault="00FA2F7E">
    <w:pPr>
      <w:pStyle w:val="Stopka"/>
      <w:jc w:val="right"/>
    </w:pPr>
    <w:fldSimple w:instr="PAGE   \* MERGEFORMAT">
      <w:r w:rsidR="00420489">
        <w:rPr>
          <w:noProof/>
        </w:rPr>
        <w:t>21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235" w:rsidRDefault="00507235" w:rsidP="00E235E3">
      <w:pPr>
        <w:spacing w:after="0"/>
      </w:pPr>
      <w:r>
        <w:separator/>
      </w:r>
    </w:p>
  </w:footnote>
  <w:footnote w:type="continuationSeparator" w:id="0">
    <w:p w:rsidR="00507235" w:rsidRDefault="00507235" w:rsidP="00E235E3">
      <w:pPr>
        <w:spacing w:after="0"/>
      </w:pPr>
      <w:r>
        <w:continuationSeparator/>
      </w:r>
    </w:p>
  </w:footnote>
  <w:footnote w:id="1">
    <w:p w:rsidR="00D740E7" w:rsidRPr="00F07980" w:rsidRDefault="00D740E7" w:rsidP="006F0875">
      <w:pPr>
        <w:pStyle w:val="Tekstprzypisudolnego"/>
      </w:pPr>
      <w:r>
        <w:rPr>
          <w:rStyle w:val="Odwoanieprzypisudolnego"/>
        </w:rPr>
        <w:footnoteRef/>
      </w:r>
      <w:r>
        <w:t xml:space="preserve"> J. Helios, W. </w:t>
      </w:r>
      <w:proofErr w:type="spellStart"/>
      <w:r>
        <w:t>Jedlecka</w:t>
      </w:r>
      <w:proofErr w:type="spellEnd"/>
      <w:r>
        <w:t xml:space="preserve">, </w:t>
      </w:r>
      <w:r>
        <w:rPr>
          <w:i/>
          <w:iCs/>
        </w:rPr>
        <w:t xml:space="preserve">Współczesne oblicza przemocy. Zagadnienia wybrane, </w:t>
      </w:r>
      <w:r>
        <w:t>Wrocław 2017, s. 15.</w:t>
      </w:r>
    </w:p>
  </w:footnote>
  <w:footnote w:id="2">
    <w:p w:rsidR="00D740E7" w:rsidRDefault="00D740E7" w:rsidP="006F0875">
      <w:pPr>
        <w:pStyle w:val="Tekstprzypisudolnego"/>
      </w:pPr>
      <w:r>
        <w:rPr>
          <w:rStyle w:val="Odwoanieprzypisudolnego"/>
        </w:rPr>
        <w:footnoteRef/>
      </w:r>
      <w:r w:rsidRPr="00E235E3">
        <w:t>http://www.niebieskalinia.info/index.php/przemoc-w-rodzinie/6-co-to-jest-przemoc</w:t>
      </w:r>
      <w:r>
        <w:t>.</w:t>
      </w:r>
    </w:p>
  </w:footnote>
  <w:footnote w:id="3">
    <w:p w:rsidR="00D740E7" w:rsidRDefault="00D740E7" w:rsidP="006F0875">
      <w:pPr>
        <w:pStyle w:val="Tekstprzypisudolnego"/>
        <w:jc w:val="left"/>
      </w:pPr>
      <w:r>
        <w:rPr>
          <w:rStyle w:val="Odwoanieprzypisudolnego"/>
        </w:rPr>
        <w:footnoteRef/>
      </w:r>
      <w:r w:rsidRPr="00DA4ADF">
        <w:t xml:space="preserve">J. </w:t>
      </w:r>
      <w:proofErr w:type="spellStart"/>
      <w:r w:rsidRPr="00DA4ADF">
        <w:t>Mellibruda</w:t>
      </w:r>
      <w:proofErr w:type="spellEnd"/>
      <w:r w:rsidRPr="00DA4ADF">
        <w:t xml:space="preserve">, </w:t>
      </w:r>
      <w:r w:rsidRPr="00DA4ADF">
        <w:rPr>
          <w:i/>
          <w:iCs/>
        </w:rPr>
        <w:t>Charakterystyka przemocy w rodzinie</w:t>
      </w:r>
      <w:r w:rsidRPr="00DA4ADF">
        <w:t xml:space="preserve">, </w:t>
      </w:r>
      <w:r w:rsidRPr="004C581D">
        <w:t>https://www.niebieskalinia.pl/przewodnik_ustawa/poradnik_-_eksperci_radza/01._Jerzy_Mellibruda.pdf</w:t>
      </w:r>
    </w:p>
  </w:footnote>
  <w:footnote w:id="4">
    <w:p w:rsidR="00D740E7" w:rsidRPr="00F07980" w:rsidRDefault="00D740E7" w:rsidP="006F0875">
      <w:pPr>
        <w:pStyle w:val="Tekstprzypisudolnego"/>
      </w:pPr>
      <w:r>
        <w:rPr>
          <w:rStyle w:val="Odwoanieprzypisudolnego"/>
        </w:rPr>
        <w:footnoteRef/>
      </w:r>
      <w:r>
        <w:t xml:space="preserve"> J. Helios, W. </w:t>
      </w:r>
      <w:proofErr w:type="spellStart"/>
      <w:r>
        <w:t>Jedlecka</w:t>
      </w:r>
      <w:proofErr w:type="spellEnd"/>
      <w:r>
        <w:t xml:space="preserve">, </w:t>
      </w:r>
      <w:r>
        <w:rPr>
          <w:i/>
          <w:iCs/>
        </w:rPr>
        <w:t>Współczesne oblicza przemocy…</w:t>
      </w:r>
      <w:r>
        <w:t>, s. 17.</w:t>
      </w:r>
    </w:p>
    <w:p w:rsidR="00D740E7" w:rsidRDefault="00D740E7" w:rsidP="006F0875">
      <w:pPr>
        <w:pStyle w:val="Tekstprzypisudolnego"/>
      </w:pPr>
    </w:p>
  </w:footnote>
  <w:footnote w:id="5">
    <w:p w:rsidR="00D740E7" w:rsidRDefault="00D740E7" w:rsidP="006F0875">
      <w:pPr>
        <w:pStyle w:val="Tekstprzypisudolnego"/>
      </w:pPr>
      <w:r>
        <w:rPr>
          <w:rStyle w:val="Odwoanieprzypisudolnego"/>
        </w:rPr>
        <w:footnoteRef/>
      </w:r>
      <w:r>
        <w:t xml:space="preserve"> E. Jarosz, </w:t>
      </w:r>
      <w:r w:rsidRPr="00513F76">
        <w:rPr>
          <w:i/>
        </w:rPr>
        <w:t>Przemoc w wychowaniu. Między prawnym zakazem a społeczną akceptacją. Monitoring Rzecznika Praw Dziecka</w:t>
      </w:r>
      <w:r>
        <w:rPr>
          <w:i/>
        </w:rPr>
        <w:t xml:space="preserve">, </w:t>
      </w:r>
      <w:r>
        <w:t>Warszawa 2015, s. 24.</w:t>
      </w:r>
    </w:p>
  </w:footnote>
  <w:footnote w:id="6">
    <w:p w:rsidR="00D740E7" w:rsidRDefault="00D740E7" w:rsidP="006F0875">
      <w:pPr>
        <w:pStyle w:val="Tekstprzypisudolnego"/>
      </w:pPr>
      <w:r>
        <w:rPr>
          <w:rStyle w:val="Odwoanieprzypisudolnego"/>
        </w:rPr>
        <w:footnoteRef/>
      </w:r>
      <w:r w:rsidRPr="00D2695E">
        <w:t>http://www.niebieskalinia.pl/edukacja/badania-i-raporty/5373-sondaz-na-zlecenie-msw-przemoc-w-rodzinie-wystepowanie-i-czestotliwosc-zglaszania</w:t>
      </w:r>
    </w:p>
  </w:footnote>
  <w:footnote w:id="7">
    <w:p w:rsidR="00D740E7" w:rsidRDefault="00D740E7" w:rsidP="006F0875">
      <w:pPr>
        <w:pStyle w:val="Tekstprzypisudolnego"/>
      </w:pPr>
      <w:r>
        <w:rPr>
          <w:rStyle w:val="Odwoanieprzypisudolnego"/>
        </w:rPr>
        <w:footnoteRef/>
      </w:r>
      <w:r w:rsidRPr="001513CA">
        <w:t>https://www.niebieskalinia.pl/6599-ponad-polowa-polakow-doswiadczyla-przemocy</w:t>
      </w:r>
    </w:p>
  </w:footnote>
  <w:footnote w:id="8">
    <w:p w:rsidR="00D740E7" w:rsidRDefault="00D740E7" w:rsidP="006F0875">
      <w:pPr>
        <w:pStyle w:val="Tekstprzypisudolnego"/>
      </w:pPr>
      <w:r>
        <w:rPr>
          <w:rStyle w:val="Odwoanieprzypisudolnego"/>
        </w:rPr>
        <w:footnoteRef/>
      </w:r>
      <w:r>
        <w:t xml:space="preserve"> E. Jarosz, </w:t>
      </w:r>
      <w:r w:rsidRPr="00513F76">
        <w:rPr>
          <w:i/>
        </w:rPr>
        <w:t>Przemoc w wyc</w:t>
      </w:r>
      <w:r>
        <w:rPr>
          <w:i/>
        </w:rPr>
        <w:t xml:space="preserve">howaniu, </w:t>
      </w:r>
      <w:r>
        <w:t>s. 140 i nast.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1069" w:hanging="360"/>
      </w:pPr>
      <w:rPr>
        <w:rFonts w:ascii="Symbol" w:hAnsi="Symbol" w:cs="Symbol"/>
        <w:b w:val="0"/>
        <w:sz w:val="22"/>
        <w:szCs w:val="22"/>
        <w:lang w:val="pl-P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sz w:val="22"/>
        <w:szCs w:val="22"/>
        <w:lang w:val="pl-PL"/>
      </w:rPr>
    </w:lvl>
    <w:lvl w:ilvl="1">
      <w:start w:val="1"/>
      <w:numFmt w:val="bullet"/>
      <w:lvlText w:val=""/>
      <w:lvlJc w:val="left"/>
      <w:pPr>
        <w:tabs>
          <w:tab w:val="num" w:pos="1080"/>
        </w:tabs>
        <w:ind w:left="1080" w:hanging="360"/>
      </w:pPr>
      <w:rPr>
        <w:rFonts w:ascii="Symbol" w:hAnsi="Symbol" w:cs="OpenSymbol"/>
        <w:sz w:val="22"/>
        <w:szCs w:val="22"/>
        <w:lang w:val="pl-PL"/>
      </w:rPr>
    </w:lvl>
    <w:lvl w:ilvl="2">
      <w:start w:val="1"/>
      <w:numFmt w:val="bullet"/>
      <w:lvlText w:val=""/>
      <w:lvlJc w:val="left"/>
      <w:pPr>
        <w:tabs>
          <w:tab w:val="num" w:pos="1440"/>
        </w:tabs>
        <w:ind w:left="1440" w:hanging="360"/>
      </w:pPr>
      <w:rPr>
        <w:rFonts w:ascii="Symbol" w:hAnsi="Symbol" w:cs="OpenSymbol"/>
        <w:sz w:val="22"/>
        <w:szCs w:val="22"/>
        <w:lang w:val="pl-PL"/>
      </w:rPr>
    </w:lvl>
    <w:lvl w:ilvl="3">
      <w:start w:val="1"/>
      <w:numFmt w:val="bullet"/>
      <w:lvlText w:val=""/>
      <w:lvlJc w:val="left"/>
      <w:pPr>
        <w:tabs>
          <w:tab w:val="num" w:pos="1800"/>
        </w:tabs>
        <w:ind w:left="1800" w:hanging="360"/>
      </w:pPr>
      <w:rPr>
        <w:rFonts w:ascii="Symbol" w:hAnsi="Symbol" w:cs="OpenSymbol"/>
        <w:sz w:val="22"/>
        <w:szCs w:val="22"/>
        <w:lang w:val="pl-PL"/>
      </w:rPr>
    </w:lvl>
    <w:lvl w:ilvl="4">
      <w:start w:val="1"/>
      <w:numFmt w:val="bullet"/>
      <w:lvlText w:val=""/>
      <w:lvlJc w:val="left"/>
      <w:pPr>
        <w:tabs>
          <w:tab w:val="num" w:pos="2160"/>
        </w:tabs>
        <w:ind w:left="2160" w:hanging="360"/>
      </w:pPr>
      <w:rPr>
        <w:rFonts w:ascii="Symbol" w:hAnsi="Symbol" w:cs="OpenSymbol"/>
        <w:sz w:val="22"/>
        <w:szCs w:val="22"/>
        <w:lang w:val="pl-PL"/>
      </w:rPr>
    </w:lvl>
    <w:lvl w:ilvl="5">
      <w:start w:val="1"/>
      <w:numFmt w:val="bullet"/>
      <w:lvlText w:val=""/>
      <w:lvlJc w:val="left"/>
      <w:pPr>
        <w:tabs>
          <w:tab w:val="num" w:pos="2520"/>
        </w:tabs>
        <w:ind w:left="2520" w:hanging="360"/>
      </w:pPr>
      <w:rPr>
        <w:rFonts w:ascii="Symbol" w:hAnsi="Symbol" w:cs="OpenSymbol"/>
        <w:sz w:val="22"/>
        <w:szCs w:val="22"/>
        <w:lang w:val="pl-PL"/>
      </w:rPr>
    </w:lvl>
    <w:lvl w:ilvl="6">
      <w:start w:val="1"/>
      <w:numFmt w:val="bullet"/>
      <w:lvlText w:val=""/>
      <w:lvlJc w:val="left"/>
      <w:pPr>
        <w:tabs>
          <w:tab w:val="num" w:pos="2880"/>
        </w:tabs>
        <w:ind w:left="2880" w:hanging="360"/>
      </w:pPr>
      <w:rPr>
        <w:rFonts w:ascii="Symbol" w:hAnsi="Symbol" w:cs="OpenSymbol"/>
        <w:sz w:val="22"/>
        <w:szCs w:val="22"/>
        <w:lang w:val="pl-PL"/>
      </w:rPr>
    </w:lvl>
    <w:lvl w:ilvl="7">
      <w:start w:val="1"/>
      <w:numFmt w:val="bullet"/>
      <w:lvlText w:val=""/>
      <w:lvlJc w:val="left"/>
      <w:pPr>
        <w:tabs>
          <w:tab w:val="num" w:pos="3240"/>
        </w:tabs>
        <w:ind w:left="3240" w:hanging="360"/>
      </w:pPr>
      <w:rPr>
        <w:rFonts w:ascii="Symbol" w:hAnsi="Symbol" w:cs="OpenSymbol"/>
        <w:sz w:val="22"/>
        <w:szCs w:val="22"/>
        <w:lang w:val="pl-PL"/>
      </w:rPr>
    </w:lvl>
    <w:lvl w:ilvl="8">
      <w:start w:val="1"/>
      <w:numFmt w:val="bullet"/>
      <w:lvlText w:val=""/>
      <w:lvlJc w:val="left"/>
      <w:pPr>
        <w:tabs>
          <w:tab w:val="num" w:pos="3600"/>
        </w:tabs>
        <w:ind w:left="3600" w:hanging="360"/>
      </w:pPr>
      <w:rPr>
        <w:rFonts w:ascii="Symbol" w:hAnsi="Symbol" w:cs="OpenSymbol"/>
        <w:sz w:val="22"/>
        <w:szCs w:val="22"/>
        <w:lang w:val="pl-PL"/>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sz w:val="22"/>
        <w:szCs w:val="22"/>
        <w:lang w:val="pl-PL"/>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sz w:val="22"/>
        <w:szCs w:val="22"/>
        <w:lang w:val="pl-PL"/>
      </w:r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lang w:val="pl-PL"/>
      </w:rPr>
    </w:lvl>
    <w:lvl w:ilvl="1">
      <w:start w:val="1"/>
      <w:numFmt w:val="bullet"/>
      <w:lvlText w:val=""/>
      <w:lvlJc w:val="left"/>
      <w:pPr>
        <w:tabs>
          <w:tab w:val="num" w:pos="1080"/>
        </w:tabs>
        <w:ind w:left="1080" w:hanging="360"/>
      </w:pPr>
      <w:rPr>
        <w:rFonts w:ascii="Symbol" w:hAnsi="Symbol" w:cs="OpenSymbol"/>
        <w:lang w:val="pl-PL"/>
      </w:rPr>
    </w:lvl>
    <w:lvl w:ilvl="2">
      <w:start w:val="1"/>
      <w:numFmt w:val="bullet"/>
      <w:lvlText w:val=""/>
      <w:lvlJc w:val="left"/>
      <w:pPr>
        <w:tabs>
          <w:tab w:val="num" w:pos="1440"/>
        </w:tabs>
        <w:ind w:left="1440" w:hanging="360"/>
      </w:pPr>
      <w:rPr>
        <w:rFonts w:ascii="Symbol" w:hAnsi="Symbol" w:cs="OpenSymbol"/>
        <w:lang w:val="pl-PL"/>
      </w:rPr>
    </w:lvl>
    <w:lvl w:ilvl="3">
      <w:start w:val="1"/>
      <w:numFmt w:val="bullet"/>
      <w:lvlText w:val=""/>
      <w:lvlJc w:val="left"/>
      <w:pPr>
        <w:tabs>
          <w:tab w:val="num" w:pos="1800"/>
        </w:tabs>
        <w:ind w:left="1800" w:hanging="360"/>
      </w:pPr>
      <w:rPr>
        <w:rFonts w:ascii="Symbol" w:hAnsi="Symbol" w:cs="OpenSymbol"/>
        <w:lang w:val="pl-PL"/>
      </w:rPr>
    </w:lvl>
    <w:lvl w:ilvl="4">
      <w:start w:val="1"/>
      <w:numFmt w:val="bullet"/>
      <w:lvlText w:val=""/>
      <w:lvlJc w:val="left"/>
      <w:pPr>
        <w:tabs>
          <w:tab w:val="num" w:pos="2160"/>
        </w:tabs>
        <w:ind w:left="2160" w:hanging="360"/>
      </w:pPr>
      <w:rPr>
        <w:rFonts w:ascii="Symbol" w:hAnsi="Symbol" w:cs="OpenSymbol"/>
        <w:lang w:val="pl-PL"/>
      </w:rPr>
    </w:lvl>
    <w:lvl w:ilvl="5">
      <w:start w:val="1"/>
      <w:numFmt w:val="bullet"/>
      <w:lvlText w:val=""/>
      <w:lvlJc w:val="left"/>
      <w:pPr>
        <w:tabs>
          <w:tab w:val="num" w:pos="2520"/>
        </w:tabs>
        <w:ind w:left="2520" w:hanging="360"/>
      </w:pPr>
      <w:rPr>
        <w:rFonts w:ascii="Symbol" w:hAnsi="Symbol" w:cs="OpenSymbol"/>
        <w:lang w:val="pl-PL"/>
      </w:rPr>
    </w:lvl>
    <w:lvl w:ilvl="6">
      <w:start w:val="1"/>
      <w:numFmt w:val="bullet"/>
      <w:lvlText w:val=""/>
      <w:lvlJc w:val="left"/>
      <w:pPr>
        <w:tabs>
          <w:tab w:val="num" w:pos="2880"/>
        </w:tabs>
        <w:ind w:left="2880" w:hanging="360"/>
      </w:pPr>
      <w:rPr>
        <w:rFonts w:ascii="Symbol" w:hAnsi="Symbol" w:cs="OpenSymbol"/>
        <w:lang w:val="pl-PL"/>
      </w:rPr>
    </w:lvl>
    <w:lvl w:ilvl="7">
      <w:start w:val="1"/>
      <w:numFmt w:val="bullet"/>
      <w:lvlText w:val=""/>
      <w:lvlJc w:val="left"/>
      <w:pPr>
        <w:tabs>
          <w:tab w:val="num" w:pos="3240"/>
        </w:tabs>
        <w:ind w:left="3240" w:hanging="360"/>
      </w:pPr>
      <w:rPr>
        <w:rFonts w:ascii="Symbol" w:hAnsi="Symbol" w:cs="OpenSymbol"/>
        <w:lang w:val="pl-PL"/>
      </w:rPr>
    </w:lvl>
    <w:lvl w:ilvl="8">
      <w:start w:val="1"/>
      <w:numFmt w:val="bullet"/>
      <w:lvlText w:val=""/>
      <w:lvlJc w:val="left"/>
      <w:pPr>
        <w:tabs>
          <w:tab w:val="num" w:pos="3600"/>
        </w:tabs>
        <w:ind w:left="3600" w:hanging="360"/>
      </w:pPr>
      <w:rPr>
        <w:rFonts w:ascii="Symbol" w:hAnsi="Symbol" w:cs="OpenSymbol"/>
        <w:lang w:val="pl-PL"/>
      </w:r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lang w:val="pl-PL"/>
      </w:rPr>
    </w:lvl>
    <w:lvl w:ilvl="1">
      <w:start w:val="1"/>
      <w:numFmt w:val="bullet"/>
      <w:lvlText w:val=""/>
      <w:lvlJc w:val="left"/>
      <w:pPr>
        <w:tabs>
          <w:tab w:val="num" w:pos="1080"/>
        </w:tabs>
        <w:ind w:left="1080" w:hanging="360"/>
      </w:pPr>
      <w:rPr>
        <w:rFonts w:ascii="Symbol" w:hAnsi="Symbol" w:cs="OpenSymbol"/>
        <w:lang w:val="pl-PL"/>
      </w:rPr>
    </w:lvl>
    <w:lvl w:ilvl="2">
      <w:start w:val="1"/>
      <w:numFmt w:val="bullet"/>
      <w:lvlText w:val=""/>
      <w:lvlJc w:val="left"/>
      <w:pPr>
        <w:tabs>
          <w:tab w:val="num" w:pos="1440"/>
        </w:tabs>
        <w:ind w:left="1440" w:hanging="360"/>
      </w:pPr>
      <w:rPr>
        <w:rFonts w:ascii="Symbol" w:hAnsi="Symbol" w:cs="OpenSymbol"/>
        <w:lang w:val="pl-PL"/>
      </w:rPr>
    </w:lvl>
    <w:lvl w:ilvl="3">
      <w:start w:val="1"/>
      <w:numFmt w:val="bullet"/>
      <w:lvlText w:val=""/>
      <w:lvlJc w:val="left"/>
      <w:pPr>
        <w:tabs>
          <w:tab w:val="num" w:pos="1800"/>
        </w:tabs>
        <w:ind w:left="1800" w:hanging="360"/>
      </w:pPr>
      <w:rPr>
        <w:rFonts w:ascii="Symbol" w:hAnsi="Symbol" w:cs="OpenSymbol"/>
        <w:lang w:val="pl-PL"/>
      </w:rPr>
    </w:lvl>
    <w:lvl w:ilvl="4">
      <w:start w:val="1"/>
      <w:numFmt w:val="bullet"/>
      <w:lvlText w:val=""/>
      <w:lvlJc w:val="left"/>
      <w:pPr>
        <w:tabs>
          <w:tab w:val="num" w:pos="2160"/>
        </w:tabs>
        <w:ind w:left="2160" w:hanging="360"/>
      </w:pPr>
      <w:rPr>
        <w:rFonts w:ascii="Symbol" w:hAnsi="Symbol" w:cs="OpenSymbol"/>
        <w:lang w:val="pl-PL"/>
      </w:rPr>
    </w:lvl>
    <w:lvl w:ilvl="5">
      <w:start w:val="1"/>
      <w:numFmt w:val="bullet"/>
      <w:lvlText w:val=""/>
      <w:lvlJc w:val="left"/>
      <w:pPr>
        <w:tabs>
          <w:tab w:val="num" w:pos="2520"/>
        </w:tabs>
        <w:ind w:left="2520" w:hanging="360"/>
      </w:pPr>
      <w:rPr>
        <w:rFonts w:ascii="Symbol" w:hAnsi="Symbol" w:cs="OpenSymbol"/>
        <w:lang w:val="pl-PL"/>
      </w:rPr>
    </w:lvl>
    <w:lvl w:ilvl="6">
      <w:start w:val="1"/>
      <w:numFmt w:val="bullet"/>
      <w:lvlText w:val=""/>
      <w:lvlJc w:val="left"/>
      <w:pPr>
        <w:tabs>
          <w:tab w:val="num" w:pos="2880"/>
        </w:tabs>
        <w:ind w:left="2880" w:hanging="360"/>
      </w:pPr>
      <w:rPr>
        <w:rFonts w:ascii="Symbol" w:hAnsi="Symbol" w:cs="OpenSymbol"/>
        <w:lang w:val="pl-PL"/>
      </w:rPr>
    </w:lvl>
    <w:lvl w:ilvl="7">
      <w:start w:val="1"/>
      <w:numFmt w:val="bullet"/>
      <w:lvlText w:val=""/>
      <w:lvlJc w:val="left"/>
      <w:pPr>
        <w:tabs>
          <w:tab w:val="num" w:pos="3240"/>
        </w:tabs>
        <w:ind w:left="3240" w:hanging="360"/>
      </w:pPr>
      <w:rPr>
        <w:rFonts w:ascii="Symbol" w:hAnsi="Symbol" w:cs="OpenSymbol"/>
        <w:lang w:val="pl-PL"/>
      </w:rPr>
    </w:lvl>
    <w:lvl w:ilvl="8">
      <w:start w:val="1"/>
      <w:numFmt w:val="bullet"/>
      <w:lvlText w:val=""/>
      <w:lvlJc w:val="left"/>
      <w:pPr>
        <w:tabs>
          <w:tab w:val="num" w:pos="3600"/>
        </w:tabs>
        <w:ind w:left="3600" w:hanging="360"/>
      </w:pPr>
      <w:rPr>
        <w:rFonts w:ascii="Symbol" w:hAnsi="Symbol" w:cs="OpenSymbol"/>
        <w:lang w:val="pl-PL"/>
      </w:rPr>
    </w:lvl>
  </w:abstractNum>
  <w:abstractNum w:abstractNumId="7">
    <w:nsid w:val="00000019"/>
    <w:multiLevelType w:val="multilevel"/>
    <w:tmpl w:val="00000019"/>
    <w:name w:val="WW8Num2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8">
    <w:nsid w:val="0000001A"/>
    <w:multiLevelType w:val="multilevel"/>
    <w:tmpl w:val="0000001A"/>
    <w:name w:val="WW8Num27"/>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9">
    <w:nsid w:val="06E95B44"/>
    <w:multiLevelType w:val="hybridMultilevel"/>
    <w:tmpl w:val="FFD059B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nsid w:val="0FF67528"/>
    <w:multiLevelType w:val="hybridMultilevel"/>
    <w:tmpl w:val="89BA3E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9AB6241"/>
    <w:multiLevelType w:val="multilevel"/>
    <w:tmpl w:val="597C41D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1CCD0EE6"/>
    <w:multiLevelType w:val="hybridMultilevel"/>
    <w:tmpl w:val="91668E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DCC435E"/>
    <w:multiLevelType w:val="hybridMultilevel"/>
    <w:tmpl w:val="80166C5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4">
    <w:nsid w:val="1F000A6F"/>
    <w:multiLevelType w:val="hybridMultilevel"/>
    <w:tmpl w:val="CA0CCC04"/>
    <w:lvl w:ilvl="0" w:tplc="4FD06E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19E6D93"/>
    <w:multiLevelType w:val="hybridMultilevel"/>
    <w:tmpl w:val="BECE59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65557A1"/>
    <w:multiLevelType w:val="hybridMultilevel"/>
    <w:tmpl w:val="4D7058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9043A51"/>
    <w:multiLevelType w:val="hybridMultilevel"/>
    <w:tmpl w:val="C87CD21C"/>
    <w:lvl w:ilvl="0" w:tplc="FA68F57E">
      <w:start w:val="1"/>
      <w:numFmt w:val="bullet"/>
      <w:lvlText w:val="•"/>
      <w:lvlJc w:val="left"/>
      <w:pPr>
        <w:tabs>
          <w:tab w:val="num" w:pos="720"/>
        </w:tabs>
        <w:ind w:left="720" w:hanging="360"/>
      </w:pPr>
      <w:rPr>
        <w:rFonts w:ascii="Times New Roman" w:hAnsi="Times New Roman" w:hint="default"/>
      </w:rPr>
    </w:lvl>
    <w:lvl w:ilvl="1" w:tplc="7ADAA43E" w:tentative="1">
      <w:start w:val="1"/>
      <w:numFmt w:val="bullet"/>
      <w:lvlText w:val="•"/>
      <w:lvlJc w:val="left"/>
      <w:pPr>
        <w:tabs>
          <w:tab w:val="num" w:pos="1440"/>
        </w:tabs>
        <w:ind w:left="1440" w:hanging="360"/>
      </w:pPr>
      <w:rPr>
        <w:rFonts w:ascii="Times New Roman" w:hAnsi="Times New Roman" w:hint="default"/>
      </w:rPr>
    </w:lvl>
    <w:lvl w:ilvl="2" w:tplc="56FEA37C" w:tentative="1">
      <w:start w:val="1"/>
      <w:numFmt w:val="bullet"/>
      <w:lvlText w:val="•"/>
      <w:lvlJc w:val="left"/>
      <w:pPr>
        <w:tabs>
          <w:tab w:val="num" w:pos="2160"/>
        </w:tabs>
        <w:ind w:left="2160" w:hanging="360"/>
      </w:pPr>
      <w:rPr>
        <w:rFonts w:ascii="Times New Roman" w:hAnsi="Times New Roman" w:hint="default"/>
      </w:rPr>
    </w:lvl>
    <w:lvl w:ilvl="3" w:tplc="5ECC56F2" w:tentative="1">
      <w:start w:val="1"/>
      <w:numFmt w:val="bullet"/>
      <w:lvlText w:val="•"/>
      <w:lvlJc w:val="left"/>
      <w:pPr>
        <w:tabs>
          <w:tab w:val="num" w:pos="2880"/>
        </w:tabs>
        <w:ind w:left="2880" w:hanging="360"/>
      </w:pPr>
      <w:rPr>
        <w:rFonts w:ascii="Times New Roman" w:hAnsi="Times New Roman" w:hint="default"/>
      </w:rPr>
    </w:lvl>
    <w:lvl w:ilvl="4" w:tplc="08D2C48E" w:tentative="1">
      <w:start w:val="1"/>
      <w:numFmt w:val="bullet"/>
      <w:lvlText w:val="•"/>
      <w:lvlJc w:val="left"/>
      <w:pPr>
        <w:tabs>
          <w:tab w:val="num" w:pos="3600"/>
        </w:tabs>
        <w:ind w:left="3600" w:hanging="360"/>
      </w:pPr>
      <w:rPr>
        <w:rFonts w:ascii="Times New Roman" w:hAnsi="Times New Roman" w:hint="default"/>
      </w:rPr>
    </w:lvl>
    <w:lvl w:ilvl="5" w:tplc="3662CE38" w:tentative="1">
      <w:start w:val="1"/>
      <w:numFmt w:val="bullet"/>
      <w:lvlText w:val="•"/>
      <w:lvlJc w:val="left"/>
      <w:pPr>
        <w:tabs>
          <w:tab w:val="num" w:pos="4320"/>
        </w:tabs>
        <w:ind w:left="4320" w:hanging="360"/>
      </w:pPr>
      <w:rPr>
        <w:rFonts w:ascii="Times New Roman" w:hAnsi="Times New Roman" w:hint="default"/>
      </w:rPr>
    </w:lvl>
    <w:lvl w:ilvl="6" w:tplc="F914F6C2" w:tentative="1">
      <w:start w:val="1"/>
      <w:numFmt w:val="bullet"/>
      <w:lvlText w:val="•"/>
      <w:lvlJc w:val="left"/>
      <w:pPr>
        <w:tabs>
          <w:tab w:val="num" w:pos="5040"/>
        </w:tabs>
        <w:ind w:left="5040" w:hanging="360"/>
      </w:pPr>
      <w:rPr>
        <w:rFonts w:ascii="Times New Roman" w:hAnsi="Times New Roman" w:hint="default"/>
      </w:rPr>
    </w:lvl>
    <w:lvl w:ilvl="7" w:tplc="205846A4" w:tentative="1">
      <w:start w:val="1"/>
      <w:numFmt w:val="bullet"/>
      <w:lvlText w:val="•"/>
      <w:lvlJc w:val="left"/>
      <w:pPr>
        <w:tabs>
          <w:tab w:val="num" w:pos="5760"/>
        </w:tabs>
        <w:ind w:left="5760" w:hanging="360"/>
      </w:pPr>
      <w:rPr>
        <w:rFonts w:ascii="Times New Roman" w:hAnsi="Times New Roman" w:hint="default"/>
      </w:rPr>
    </w:lvl>
    <w:lvl w:ilvl="8" w:tplc="880A7A14" w:tentative="1">
      <w:start w:val="1"/>
      <w:numFmt w:val="bullet"/>
      <w:lvlText w:val="•"/>
      <w:lvlJc w:val="left"/>
      <w:pPr>
        <w:tabs>
          <w:tab w:val="num" w:pos="6480"/>
        </w:tabs>
        <w:ind w:left="6480" w:hanging="360"/>
      </w:pPr>
      <w:rPr>
        <w:rFonts w:ascii="Times New Roman" w:hAnsi="Times New Roman" w:hint="default"/>
      </w:rPr>
    </w:lvl>
  </w:abstractNum>
  <w:abstractNum w:abstractNumId="18">
    <w:nsid w:val="296F4B5A"/>
    <w:multiLevelType w:val="hybridMultilevel"/>
    <w:tmpl w:val="1194C4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0A6160B"/>
    <w:multiLevelType w:val="multilevel"/>
    <w:tmpl w:val="C80884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319A2F6F"/>
    <w:multiLevelType w:val="hybridMultilevel"/>
    <w:tmpl w:val="030C3F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50A784F"/>
    <w:multiLevelType w:val="hybridMultilevel"/>
    <w:tmpl w:val="798C53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52631EF"/>
    <w:multiLevelType w:val="hybridMultilevel"/>
    <w:tmpl w:val="D44845BC"/>
    <w:lvl w:ilvl="0" w:tplc="D4346DF8">
      <w:start w:val="1"/>
      <w:numFmt w:val="bullet"/>
      <w:lvlText w:val="•"/>
      <w:lvlJc w:val="left"/>
      <w:pPr>
        <w:tabs>
          <w:tab w:val="num" w:pos="720"/>
        </w:tabs>
        <w:ind w:left="720" w:hanging="360"/>
      </w:pPr>
      <w:rPr>
        <w:rFonts w:ascii="Times New Roman" w:hAnsi="Times New Roman" w:hint="default"/>
      </w:rPr>
    </w:lvl>
    <w:lvl w:ilvl="1" w:tplc="24CC109A" w:tentative="1">
      <w:start w:val="1"/>
      <w:numFmt w:val="bullet"/>
      <w:lvlText w:val="•"/>
      <w:lvlJc w:val="left"/>
      <w:pPr>
        <w:tabs>
          <w:tab w:val="num" w:pos="1440"/>
        </w:tabs>
        <w:ind w:left="1440" w:hanging="360"/>
      </w:pPr>
      <w:rPr>
        <w:rFonts w:ascii="Times New Roman" w:hAnsi="Times New Roman" w:hint="default"/>
      </w:rPr>
    </w:lvl>
    <w:lvl w:ilvl="2" w:tplc="42A8B73E" w:tentative="1">
      <w:start w:val="1"/>
      <w:numFmt w:val="bullet"/>
      <w:lvlText w:val="•"/>
      <w:lvlJc w:val="left"/>
      <w:pPr>
        <w:tabs>
          <w:tab w:val="num" w:pos="2160"/>
        </w:tabs>
        <w:ind w:left="2160" w:hanging="360"/>
      </w:pPr>
      <w:rPr>
        <w:rFonts w:ascii="Times New Roman" w:hAnsi="Times New Roman" w:hint="default"/>
      </w:rPr>
    </w:lvl>
    <w:lvl w:ilvl="3" w:tplc="6DB421FC" w:tentative="1">
      <w:start w:val="1"/>
      <w:numFmt w:val="bullet"/>
      <w:lvlText w:val="•"/>
      <w:lvlJc w:val="left"/>
      <w:pPr>
        <w:tabs>
          <w:tab w:val="num" w:pos="2880"/>
        </w:tabs>
        <w:ind w:left="2880" w:hanging="360"/>
      </w:pPr>
      <w:rPr>
        <w:rFonts w:ascii="Times New Roman" w:hAnsi="Times New Roman" w:hint="default"/>
      </w:rPr>
    </w:lvl>
    <w:lvl w:ilvl="4" w:tplc="42AC4CFC" w:tentative="1">
      <w:start w:val="1"/>
      <w:numFmt w:val="bullet"/>
      <w:lvlText w:val="•"/>
      <w:lvlJc w:val="left"/>
      <w:pPr>
        <w:tabs>
          <w:tab w:val="num" w:pos="3600"/>
        </w:tabs>
        <w:ind w:left="3600" w:hanging="360"/>
      </w:pPr>
      <w:rPr>
        <w:rFonts w:ascii="Times New Roman" w:hAnsi="Times New Roman" w:hint="default"/>
      </w:rPr>
    </w:lvl>
    <w:lvl w:ilvl="5" w:tplc="ECA04274" w:tentative="1">
      <w:start w:val="1"/>
      <w:numFmt w:val="bullet"/>
      <w:lvlText w:val="•"/>
      <w:lvlJc w:val="left"/>
      <w:pPr>
        <w:tabs>
          <w:tab w:val="num" w:pos="4320"/>
        </w:tabs>
        <w:ind w:left="4320" w:hanging="360"/>
      </w:pPr>
      <w:rPr>
        <w:rFonts w:ascii="Times New Roman" w:hAnsi="Times New Roman" w:hint="default"/>
      </w:rPr>
    </w:lvl>
    <w:lvl w:ilvl="6" w:tplc="E2321B4E" w:tentative="1">
      <w:start w:val="1"/>
      <w:numFmt w:val="bullet"/>
      <w:lvlText w:val="•"/>
      <w:lvlJc w:val="left"/>
      <w:pPr>
        <w:tabs>
          <w:tab w:val="num" w:pos="5040"/>
        </w:tabs>
        <w:ind w:left="5040" w:hanging="360"/>
      </w:pPr>
      <w:rPr>
        <w:rFonts w:ascii="Times New Roman" w:hAnsi="Times New Roman" w:hint="default"/>
      </w:rPr>
    </w:lvl>
    <w:lvl w:ilvl="7" w:tplc="DF24253C" w:tentative="1">
      <w:start w:val="1"/>
      <w:numFmt w:val="bullet"/>
      <w:lvlText w:val="•"/>
      <w:lvlJc w:val="left"/>
      <w:pPr>
        <w:tabs>
          <w:tab w:val="num" w:pos="5760"/>
        </w:tabs>
        <w:ind w:left="5760" w:hanging="360"/>
      </w:pPr>
      <w:rPr>
        <w:rFonts w:ascii="Times New Roman" w:hAnsi="Times New Roman" w:hint="default"/>
      </w:rPr>
    </w:lvl>
    <w:lvl w:ilvl="8" w:tplc="B5228998" w:tentative="1">
      <w:start w:val="1"/>
      <w:numFmt w:val="bullet"/>
      <w:lvlText w:val="•"/>
      <w:lvlJc w:val="left"/>
      <w:pPr>
        <w:tabs>
          <w:tab w:val="num" w:pos="6480"/>
        </w:tabs>
        <w:ind w:left="6480" w:hanging="360"/>
      </w:pPr>
      <w:rPr>
        <w:rFonts w:ascii="Times New Roman" w:hAnsi="Times New Roman" w:hint="default"/>
      </w:rPr>
    </w:lvl>
  </w:abstractNum>
  <w:abstractNum w:abstractNumId="23">
    <w:nsid w:val="3953539F"/>
    <w:multiLevelType w:val="hybridMultilevel"/>
    <w:tmpl w:val="677EE9E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39F70093"/>
    <w:multiLevelType w:val="hybridMultilevel"/>
    <w:tmpl w:val="48A41B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D2C0FA8"/>
    <w:multiLevelType w:val="hybridMultilevel"/>
    <w:tmpl w:val="B748DA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036279E"/>
    <w:multiLevelType w:val="hybridMultilevel"/>
    <w:tmpl w:val="22EC0C3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73A3A4D"/>
    <w:multiLevelType w:val="hybridMultilevel"/>
    <w:tmpl w:val="C5A4B7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C994B0F"/>
    <w:multiLevelType w:val="hybridMultilevel"/>
    <w:tmpl w:val="6ECC03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DC4229C"/>
    <w:multiLevelType w:val="hybridMultilevel"/>
    <w:tmpl w:val="D9763D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E8038E6"/>
    <w:multiLevelType w:val="hybridMultilevel"/>
    <w:tmpl w:val="38AA5F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FF537D6"/>
    <w:multiLevelType w:val="hybridMultilevel"/>
    <w:tmpl w:val="8E5A79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015724E"/>
    <w:multiLevelType w:val="hybridMultilevel"/>
    <w:tmpl w:val="F30A6F38"/>
    <w:lvl w:ilvl="0" w:tplc="5538A520">
      <w:start w:val="1"/>
      <w:numFmt w:val="bullet"/>
      <w:lvlText w:val="•"/>
      <w:lvlJc w:val="left"/>
      <w:pPr>
        <w:tabs>
          <w:tab w:val="num" w:pos="720"/>
        </w:tabs>
        <w:ind w:left="720" w:hanging="360"/>
      </w:pPr>
      <w:rPr>
        <w:rFonts w:ascii="Times New Roman" w:hAnsi="Times New Roman" w:hint="default"/>
      </w:rPr>
    </w:lvl>
    <w:lvl w:ilvl="1" w:tplc="2E8610B6" w:tentative="1">
      <w:start w:val="1"/>
      <w:numFmt w:val="bullet"/>
      <w:lvlText w:val="•"/>
      <w:lvlJc w:val="left"/>
      <w:pPr>
        <w:tabs>
          <w:tab w:val="num" w:pos="1440"/>
        </w:tabs>
        <w:ind w:left="1440" w:hanging="360"/>
      </w:pPr>
      <w:rPr>
        <w:rFonts w:ascii="Times New Roman" w:hAnsi="Times New Roman" w:hint="default"/>
      </w:rPr>
    </w:lvl>
    <w:lvl w:ilvl="2" w:tplc="84B46982" w:tentative="1">
      <w:start w:val="1"/>
      <w:numFmt w:val="bullet"/>
      <w:lvlText w:val="•"/>
      <w:lvlJc w:val="left"/>
      <w:pPr>
        <w:tabs>
          <w:tab w:val="num" w:pos="2160"/>
        </w:tabs>
        <w:ind w:left="2160" w:hanging="360"/>
      </w:pPr>
      <w:rPr>
        <w:rFonts w:ascii="Times New Roman" w:hAnsi="Times New Roman" w:hint="default"/>
      </w:rPr>
    </w:lvl>
    <w:lvl w:ilvl="3" w:tplc="2A127620" w:tentative="1">
      <w:start w:val="1"/>
      <w:numFmt w:val="bullet"/>
      <w:lvlText w:val="•"/>
      <w:lvlJc w:val="left"/>
      <w:pPr>
        <w:tabs>
          <w:tab w:val="num" w:pos="2880"/>
        </w:tabs>
        <w:ind w:left="2880" w:hanging="360"/>
      </w:pPr>
      <w:rPr>
        <w:rFonts w:ascii="Times New Roman" w:hAnsi="Times New Roman" w:hint="default"/>
      </w:rPr>
    </w:lvl>
    <w:lvl w:ilvl="4" w:tplc="170A1E4C" w:tentative="1">
      <w:start w:val="1"/>
      <w:numFmt w:val="bullet"/>
      <w:lvlText w:val="•"/>
      <w:lvlJc w:val="left"/>
      <w:pPr>
        <w:tabs>
          <w:tab w:val="num" w:pos="3600"/>
        </w:tabs>
        <w:ind w:left="3600" w:hanging="360"/>
      </w:pPr>
      <w:rPr>
        <w:rFonts w:ascii="Times New Roman" w:hAnsi="Times New Roman" w:hint="default"/>
      </w:rPr>
    </w:lvl>
    <w:lvl w:ilvl="5" w:tplc="BA141B84" w:tentative="1">
      <w:start w:val="1"/>
      <w:numFmt w:val="bullet"/>
      <w:lvlText w:val="•"/>
      <w:lvlJc w:val="left"/>
      <w:pPr>
        <w:tabs>
          <w:tab w:val="num" w:pos="4320"/>
        </w:tabs>
        <w:ind w:left="4320" w:hanging="360"/>
      </w:pPr>
      <w:rPr>
        <w:rFonts w:ascii="Times New Roman" w:hAnsi="Times New Roman" w:hint="default"/>
      </w:rPr>
    </w:lvl>
    <w:lvl w:ilvl="6" w:tplc="1E48304A" w:tentative="1">
      <w:start w:val="1"/>
      <w:numFmt w:val="bullet"/>
      <w:lvlText w:val="•"/>
      <w:lvlJc w:val="left"/>
      <w:pPr>
        <w:tabs>
          <w:tab w:val="num" w:pos="5040"/>
        </w:tabs>
        <w:ind w:left="5040" w:hanging="360"/>
      </w:pPr>
      <w:rPr>
        <w:rFonts w:ascii="Times New Roman" w:hAnsi="Times New Roman" w:hint="default"/>
      </w:rPr>
    </w:lvl>
    <w:lvl w:ilvl="7" w:tplc="F85ECD5E" w:tentative="1">
      <w:start w:val="1"/>
      <w:numFmt w:val="bullet"/>
      <w:lvlText w:val="•"/>
      <w:lvlJc w:val="left"/>
      <w:pPr>
        <w:tabs>
          <w:tab w:val="num" w:pos="5760"/>
        </w:tabs>
        <w:ind w:left="5760" w:hanging="360"/>
      </w:pPr>
      <w:rPr>
        <w:rFonts w:ascii="Times New Roman" w:hAnsi="Times New Roman" w:hint="default"/>
      </w:rPr>
    </w:lvl>
    <w:lvl w:ilvl="8" w:tplc="48427D70" w:tentative="1">
      <w:start w:val="1"/>
      <w:numFmt w:val="bullet"/>
      <w:lvlText w:val="•"/>
      <w:lvlJc w:val="left"/>
      <w:pPr>
        <w:tabs>
          <w:tab w:val="num" w:pos="6480"/>
        </w:tabs>
        <w:ind w:left="6480" w:hanging="360"/>
      </w:pPr>
      <w:rPr>
        <w:rFonts w:ascii="Times New Roman" w:hAnsi="Times New Roman" w:hint="default"/>
      </w:rPr>
    </w:lvl>
  </w:abstractNum>
  <w:abstractNum w:abstractNumId="33">
    <w:nsid w:val="51D408DB"/>
    <w:multiLevelType w:val="hybridMultilevel"/>
    <w:tmpl w:val="C6C28C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2541C1E"/>
    <w:multiLevelType w:val="hybridMultilevel"/>
    <w:tmpl w:val="DAAA5E4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583D5248"/>
    <w:multiLevelType w:val="hybridMultilevel"/>
    <w:tmpl w:val="91641E3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59310793"/>
    <w:multiLevelType w:val="hybridMultilevel"/>
    <w:tmpl w:val="A69051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5CF44EB1"/>
    <w:multiLevelType w:val="hybridMultilevel"/>
    <w:tmpl w:val="5860C8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5F4E7DBB"/>
    <w:multiLevelType w:val="multilevel"/>
    <w:tmpl w:val="9B06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6D248E"/>
    <w:multiLevelType w:val="hybridMultilevel"/>
    <w:tmpl w:val="22F6BE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4BE1220"/>
    <w:multiLevelType w:val="hybridMultilevel"/>
    <w:tmpl w:val="214244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5A07D50"/>
    <w:multiLevelType w:val="hybridMultilevel"/>
    <w:tmpl w:val="525857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6A731BC8"/>
    <w:multiLevelType w:val="multilevel"/>
    <w:tmpl w:val="22AC812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nsid w:val="6B851D2C"/>
    <w:multiLevelType w:val="hybridMultilevel"/>
    <w:tmpl w:val="17FA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6EF31E46"/>
    <w:multiLevelType w:val="hybridMultilevel"/>
    <w:tmpl w:val="4B42B6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0AB316C"/>
    <w:multiLevelType w:val="hybridMultilevel"/>
    <w:tmpl w:val="8362CBC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718A1CE1"/>
    <w:multiLevelType w:val="hybridMultilevel"/>
    <w:tmpl w:val="40F08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2D77481"/>
    <w:multiLevelType w:val="hybridMultilevel"/>
    <w:tmpl w:val="7FBA72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759E08AC"/>
    <w:multiLevelType w:val="hybridMultilevel"/>
    <w:tmpl w:val="1DC0AE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7A462BE8"/>
    <w:multiLevelType w:val="hybridMultilevel"/>
    <w:tmpl w:val="564AEC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A491104"/>
    <w:multiLevelType w:val="hybridMultilevel"/>
    <w:tmpl w:val="D89A36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F3143C9"/>
    <w:multiLevelType w:val="hybridMultilevel"/>
    <w:tmpl w:val="7518945A"/>
    <w:lvl w:ilvl="0" w:tplc="04150011">
      <w:start w:val="1"/>
      <w:numFmt w:val="decimal"/>
      <w:lvlText w:val="%1)"/>
      <w:lvlJc w:val="left"/>
      <w:pPr>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48"/>
  </w:num>
  <w:num w:numId="3">
    <w:abstractNumId w:val="28"/>
  </w:num>
  <w:num w:numId="4">
    <w:abstractNumId w:val="29"/>
  </w:num>
  <w:num w:numId="5">
    <w:abstractNumId w:val="51"/>
  </w:num>
  <w:num w:numId="6">
    <w:abstractNumId w:val="39"/>
  </w:num>
  <w:num w:numId="7">
    <w:abstractNumId w:val="23"/>
  </w:num>
  <w:num w:numId="8">
    <w:abstractNumId w:val="40"/>
  </w:num>
  <w:num w:numId="9">
    <w:abstractNumId w:val="16"/>
  </w:num>
  <w:num w:numId="10">
    <w:abstractNumId w:val="36"/>
  </w:num>
  <w:num w:numId="11">
    <w:abstractNumId w:val="14"/>
  </w:num>
  <w:num w:numId="12">
    <w:abstractNumId w:val="33"/>
  </w:num>
  <w:num w:numId="13">
    <w:abstractNumId w:val="43"/>
  </w:num>
  <w:num w:numId="14">
    <w:abstractNumId w:val="41"/>
  </w:num>
  <w:num w:numId="15">
    <w:abstractNumId w:val="27"/>
  </w:num>
  <w:num w:numId="16">
    <w:abstractNumId w:val="25"/>
  </w:num>
  <w:num w:numId="17">
    <w:abstractNumId w:val="34"/>
  </w:num>
  <w:num w:numId="18">
    <w:abstractNumId w:val="45"/>
  </w:num>
  <w:num w:numId="19">
    <w:abstractNumId w:val="31"/>
  </w:num>
  <w:num w:numId="20">
    <w:abstractNumId w:val="30"/>
  </w:num>
  <w:num w:numId="21">
    <w:abstractNumId w:val="12"/>
  </w:num>
  <w:num w:numId="22">
    <w:abstractNumId w:val="15"/>
  </w:num>
  <w:num w:numId="23">
    <w:abstractNumId w:val="35"/>
  </w:num>
  <w:num w:numId="24">
    <w:abstractNumId w:val="19"/>
  </w:num>
  <w:num w:numId="25">
    <w:abstractNumId w:val="38"/>
  </w:num>
  <w:num w:numId="26">
    <w:abstractNumId w:val="21"/>
  </w:num>
  <w:num w:numId="27">
    <w:abstractNumId w:val="10"/>
  </w:num>
  <w:num w:numId="28">
    <w:abstractNumId w:val="24"/>
  </w:num>
  <w:num w:numId="29">
    <w:abstractNumId w:val="49"/>
  </w:num>
  <w:num w:numId="30">
    <w:abstractNumId w:val="9"/>
  </w:num>
  <w:num w:numId="31">
    <w:abstractNumId w:val="26"/>
  </w:num>
  <w:num w:numId="32">
    <w:abstractNumId w:val="13"/>
  </w:num>
  <w:num w:numId="33">
    <w:abstractNumId w:val="47"/>
  </w:num>
  <w:num w:numId="34">
    <w:abstractNumId w:val="32"/>
  </w:num>
  <w:num w:numId="35">
    <w:abstractNumId w:val="17"/>
  </w:num>
  <w:num w:numId="36">
    <w:abstractNumId w:val="22"/>
  </w:num>
  <w:num w:numId="37">
    <w:abstractNumId w:val="50"/>
  </w:num>
  <w:num w:numId="38">
    <w:abstractNumId w:val="44"/>
  </w:num>
  <w:num w:numId="39">
    <w:abstractNumId w:val="20"/>
  </w:num>
  <w:num w:numId="40">
    <w:abstractNumId w:val="37"/>
  </w:num>
  <w:num w:numId="41">
    <w:abstractNumId w:val="11"/>
  </w:num>
  <w:num w:numId="42">
    <w:abstractNumId w:val="42"/>
  </w:num>
  <w:num w:numId="43">
    <w:abstractNumId w:val="46"/>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rsids>
    <w:rsidRoot w:val="004072BC"/>
    <w:rsid w:val="00012BF9"/>
    <w:rsid w:val="00014D00"/>
    <w:rsid w:val="00026624"/>
    <w:rsid w:val="000305C6"/>
    <w:rsid w:val="00036388"/>
    <w:rsid w:val="000408FD"/>
    <w:rsid w:val="00046E0B"/>
    <w:rsid w:val="0005210E"/>
    <w:rsid w:val="0005223B"/>
    <w:rsid w:val="00060744"/>
    <w:rsid w:val="00070A23"/>
    <w:rsid w:val="00073FEE"/>
    <w:rsid w:val="00074722"/>
    <w:rsid w:val="0007759C"/>
    <w:rsid w:val="000913C1"/>
    <w:rsid w:val="000928F2"/>
    <w:rsid w:val="000938F7"/>
    <w:rsid w:val="0009798E"/>
    <w:rsid w:val="000A7B51"/>
    <w:rsid w:val="000D257D"/>
    <w:rsid w:val="000D3ED2"/>
    <w:rsid w:val="000E29D7"/>
    <w:rsid w:val="000F1EA6"/>
    <w:rsid w:val="001022A9"/>
    <w:rsid w:val="00111F78"/>
    <w:rsid w:val="0012681B"/>
    <w:rsid w:val="00127D19"/>
    <w:rsid w:val="00131B4D"/>
    <w:rsid w:val="00143898"/>
    <w:rsid w:val="00145799"/>
    <w:rsid w:val="00145B5C"/>
    <w:rsid w:val="00157B44"/>
    <w:rsid w:val="0016426A"/>
    <w:rsid w:val="0016636E"/>
    <w:rsid w:val="001743D2"/>
    <w:rsid w:val="001770C3"/>
    <w:rsid w:val="001829DE"/>
    <w:rsid w:val="001A553D"/>
    <w:rsid w:val="001B37DD"/>
    <w:rsid w:val="001B3BAD"/>
    <w:rsid w:val="001B7FDB"/>
    <w:rsid w:val="001C259D"/>
    <w:rsid w:val="001C2E92"/>
    <w:rsid w:val="001D0E43"/>
    <w:rsid w:val="001D7244"/>
    <w:rsid w:val="001E0AAE"/>
    <w:rsid w:val="001F6895"/>
    <w:rsid w:val="002044F9"/>
    <w:rsid w:val="002073CA"/>
    <w:rsid w:val="0020775E"/>
    <w:rsid w:val="00213CF4"/>
    <w:rsid w:val="00220DE0"/>
    <w:rsid w:val="002275BE"/>
    <w:rsid w:val="00227B28"/>
    <w:rsid w:val="00227E0F"/>
    <w:rsid w:val="002377A5"/>
    <w:rsid w:val="00264373"/>
    <w:rsid w:val="00266365"/>
    <w:rsid w:val="00290EEF"/>
    <w:rsid w:val="002B0D68"/>
    <w:rsid w:val="002B1DF9"/>
    <w:rsid w:val="002E0921"/>
    <w:rsid w:val="002F2D0D"/>
    <w:rsid w:val="003020E6"/>
    <w:rsid w:val="00316597"/>
    <w:rsid w:val="003179DE"/>
    <w:rsid w:val="00327128"/>
    <w:rsid w:val="0033280C"/>
    <w:rsid w:val="00347907"/>
    <w:rsid w:val="00357619"/>
    <w:rsid w:val="00365E5A"/>
    <w:rsid w:val="00386FA7"/>
    <w:rsid w:val="00392EA6"/>
    <w:rsid w:val="0039637D"/>
    <w:rsid w:val="003A0617"/>
    <w:rsid w:val="003A0935"/>
    <w:rsid w:val="003A0BF1"/>
    <w:rsid w:val="003A0F30"/>
    <w:rsid w:val="003A6BE7"/>
    <w:rsid w:val="003B5686"/>
    <w:rsid w:val="003B6586"/>
    <w:rsid w:val="003C4E56"/>
    <w:rsid w:val="003D48C7"/>
    <w:rsid w:val="003E2852"/>
    <w:rsid w:val="003E29BE"/>
    <w:rsid w:val="003E4A14"/>
    <w:rsid w:val="003E6CD1"/>
    <w:rsid w:val="003F228C"/>
    <w:rsid w:val="003F49CF"/>
    <w:rsid w:val="0040715A"/>
    <w:rsid w:val="004072BC"/>
    <w:rsid w:val="004132EE"/>
    <w:rsid w:val="00420489"/>
    <w:rsid w:val="0043355E"/>
    <w:rsid w:val="004404A4"/>
    <w:rsid w:val="004450EC"/>
    <w:rsid w:val="00460D19"/>
    <w:rsid w:val="00460D7C"/>
    <w:rsid w:val="00463052"/>
    <w:rsid w:val="00465EB7"/>
    <w:rsid w:val="004930FB"/>
    <w:rsid w:val="004935ED"/>
    <w:rsid w:val="004939FE"/>
    <w:rsid w:val="00494CB1"/>
    <w:rsid w:val="004B3919"/>
    <w:rsid w:val="004D19B3"/>
    <w:rsid w:val="004D7264"/>
    <w:rsid w:val="00507235"/>
    <w:rsid w:val="0052155F"/>
    <w:rsid w:val="00530E6B"/>
    <w:rsid w:val="00545D49"/>
    <w:rsid w:val="00552806"/>
    <w:rsid w:val="00556091"/>
    <w:rsid w:val="00560471"/>
    <w:rsid w:val="0056247F"/>
    <w:rsid w:val="00565D49"/>
    <w:rsid w:val="00577D4A"/>
    <w:rsid w:val="005802FD"/>
    <w:rsid w:val="00587747"/>
    <w:rsid w:val="005910C9"/>
    <w:rsid w:val="005952ED"/>
    <w:rsid w:val="005952F6"/>
    <w:rsid w:val="0059542F"/>
    <w:rsid w:val="00597C37"/>
    <w:rsid w:val="005B4BE8"/>
    <w:rsid w:val="005C5830"/>
    <w:rsid w:val="005E564F"/>
    <w:rsid w:val="005E5976"/>
    <w:rsid w:val="005E7A9B"/>
    <w:rsid w:val="00613EF3"/>
    <w:rsid w:val="00614EE5"/>
    <w:rsid w:val="006166E9"/>
    <w:rsid w:val="006344A8"/>
    <w:rsid w:val="00634E71"/>
    <w:rsid w:val="006523E7"/>
    <w:rsid w:val="00661348"/>
    <w:rsid w:val="006859FA"/>
    <w:rsid w:val="00690C90"/>
    <w:rsid w:val="006A00F9"/>
    <w:rsid w:val="006A1FBB"/>
    <w:rsid w:val="006B0DA3"/>
    <w:rsid w:val="006B2AF9"/>
    <w:rsid w:val="006B70F1"/>
    <w:rsid w:val="006C5EED"/>
    <w:rsid w:val="006D2728"/>
    <w:rsid w:val="006F0875"/>
    <w:rsid w:val="006F2081"/>
    <w:rsid w:val="006F22F0"/>
    <w:rsid w:val="00700E02"/>
    <w:rsid w:val="0070162F"/>
    <w:rsid w:val="007125CF"/>
    <w:rsid w:val="00715379"/>
    <w:rsid w:val="00717804"/>
    <w:rsid w:val="007263D0"/>
    <w:rsid w:val="00732179"/>
    <w:rsid w:val="007333FF"/>
    <w:rsid w:val="00742102"/>
    <w:rsid w:val="00743115"/>
    <w:rsid w:val="00745A92"/>
    <w:rsid w:val="007463A0"/>
    <w:rsid w:val="00746F7B"/>
    <w:rsid w:val="00754D56"/>
    <w:rsid w:val="00770BAD"/>
    <w:rsid w:val="00774626"/>
    <w:rsid w:val="00781483"/>
    <w:rsid w:val="00792218"/>
    <w:rsid w:val="00794C3D"/>
    <w:rsid w:val="007A26E9"/>
    <w:rsid w:val="007A6D7B"/>
    <w:rsid w:val="007B0AA9"/>
    <w:rsid w:val="007B4379"/>
    <w:rsid w:val="007B495D"/>
    <w:rsid w:val="007B5626"/>
    <w:rsid w:val="007C72B0"/>
    <w:rsid w:val="007C7B0D"/>
    <w:rsid w:val="007D3C1B"/>
    <w:rsid w:val="007E0CCB"/>
    <w:rsid w:val="007F6F9F"/>
    <w:rsid w:val="008001B2"/>
    <w:rsid w:val="00803921"/>
    <w:rsid w:val="0081465A"/>
    <w:rsid w:val="00825332"/>
    <w:rsid w:val="0082639A"/>
    <w:rsid w:val="00843950"/>
    <w:rsid w:val="00845BCD"/>
    <w:rsid w:val="0086071D"/>
    <w:rsid w:val="00870023"/>
    <w:rsid w:val="00872402"/>
    <w:rsid w:val="00875835"/>
    <w:rsid w:val="00886427"/>
    <w:rsid w:val="008B0215"/>
    <w:rsid w:val="008B3B7A"/>
    <w:rsid w:val="008C0AC6"/>
    <w:rsid w:val="008D0CF0"/>
    <w:rsid w:val="008D36B6"/>
    <w:rsid w:val="008E4041"/>
    <w:rsid w:val="008F2480"/>
    <w:rsid w:val="00903BC9"/>
    <w:rsid w:val="00905210"/>
    <w:rsid w:val="0091046C"/>
    <w:rsid w:val="009210D7"/>
    <w:rsid w:val="009234AF"/>
    <w:rsid w:val="00936640"/>
    <w:rsid w:val="0094755F"/>
    <w:rsid w:val="009615FB"/>
    <w:rsid w:val="00962F50"/>
    <w:rsid w:val="00963426"/>
    <w:rsid w:val="00965C60"/>
    <w:rsid w:val="009756E2"/>
    <w:rsid w:val="00976139"/>
    <w:rsid w:val="009A030F"/>
    <w:rsid w:val="009A1A9A"/>
    <w:rsid w:val="009A1C10"/>
    <w:rsid w:val="009B387D"/>
    <w:rsid w:val="009D3372"/>
    <w:rsid w:val="009E00CE"/>
    <w:rsid w:val="009E4433"/>
    <w:rsid w:val="009E5007"/>
    <w:rsid w:val="009F0CA1"/>
    <w:rsid w:val="009F2543"/>
    <w:rsid w:val="009F256E"/>
    <w:rsid w:val="009F7C6B"/>
    <w:rsid w:val="00A0381E"/>
    <w:rsid w:val="00A20BBA"/>
    <w:rsid w:val="00A258DD"/>
    <w:rsid w:val="00A3302F"/>
    <w:rsid w:val="00A33BBE"/>
    <w:rsid w:val="00A46779"/>
    <w:rsid w:val="00A47E2F"/>
    <w:rsid w:val="00A51FFB"/>
    <w:rsid w:val="00A551F5"/>
    <w:rsid w:val="00A670CD"/>
    <w:rsid w:val="00A85C33"/>
    <w:rsid w:val="00A916C8"/>
    <w:rsid w:val="00A9223A"/>
    <w:rsid w:val="00AA4072"/>
    <w:rsid w:val="00AA6C17"/>
    <w:rsid w:val="00AB0D34"/>
    <w:rsid w:val="00AB5C3F"/>
    <w:rsid w:val="00AB5EB5"/>
    <w:rsid w:val="00AC23AB"/>
    <w:rsid w:val="00AC58D7"/>
    <w:rsid w:val="00AD3BBD"/>
    <w:rsid w:val="00AE188B"/>
    <w:rsid w:val="00AF08AD"/>
    <w:rsid w:val="00AF0A7A"/>
    <w:rsid w:val="00AF1418"/>
    <w:rsid w:val="00B04CC1"/>
    <w:rsid w:val="00B14FC2"/>
    <w:rsid w:val="00B17146"/>
    <w:rsid w:val="00B220AB"/>
    <w:rsid w:val="00B240E0"/>
    <w:rsid w:val="00B26FD2"/>
    <w:rsid w:val="00B409FA"/>
    <w:rsid w:val="00B413BE"/>
    <w:rsid w:val="00B47ED8"/>
    <w:rsid w:val="00B61337"/>
    <w:rsid w:val="00B62BE6"/>
    <w:rsid w:val="00B738DB"/>
    <w:rsid w:val="00B77A1A"/>
    <w:rsid w:val="00B81A9F"/>
    <w:rsid w:val="00B830B7"/>
    <w:rsid w:val="00B87144"/>
    <w:rsid w:val="00B93292"/>
    <w:rsid w:val="00BA6CA4"/>
    <w:rsid w:val="00BB074B"/>
    <w:rsid w:val="00BB108B"/>
    <w:rsid w:val="00BB13B3"/>
    <w:rsid w:val="00BB4428"/>
    <w:rsid w:val="00BB4712"/>
    <w:rsid w:val="00BB516E"/>
    <w:rsid w:val="00BB7738"/>
    <w:rsid w:val="00BD1082"/>
    <w:rsid w:val="00BD4572"/>
    <w:rsid w:val="00BD54BC"/>
    <w:rsid w:val="00BE3994"/>
    <w:rsid w:val="00BF18E0"/>
    <w:rsid w:val="00C03A13"/>
    <w:rsid w:val="00C04DEE"/>
    <w:rsid w:val="00C068A7"/>
    <w:rsid w:val="00C168DE"/>
    <w:rsid w:val="00C270F9"/>
    <w:rsid w:val="00C277A3"/>
    <w:rsid w:val="00C357CA"/>
    <w:rsid w:val="00C37CC7"/>
    <w:rsid w:val="00C416CB"/>
    <w:rsid w:val="00C43BA0"/>
    <w:rsid w:val="00C47763"/>
    <w:rsid w:val="00C50BA7"/>
    <w:rsid w:val="00C60CED"/>
    <w:rsid w:val="00C60FE4"/>
    <w:rsid w:val="00C61158"/>
    <w:rsid w:val="00C77F15"/>
    <w:rsid w:val="00C86258"/>
    <w:rsid w:val="00C93761"/>
    <w:rsid w:val="00CA7C0F"/>
    <w:rsid w:val="00CB5B8B"/>
    <w:rsid w:val="00CC09DA"/>
    <w:rsid w:val="00CC2141"/>
    <w:rsid w:val="00CC4644"/>
    <w:rsid w:val="00CD6529"/>
    <w:rsid w:val="00CE226C"/>
    <w:rsid w:val="00CE32D6"/>
    <w:rsid w:val="00D02262"/>
    <w:rsid w:val="00D04409"/>
    <w:rsid w:val="00D16410"/>
    <w:rsid w:val="00D2389E"/>
    <w:rsid w:val="00D24582"/>
    <w:rsid w:val="00D2601A"/>
    <w:rsid w:val="00D27618"/>
    <w:rsid w:val="00D467BD"/>
    <w:rsid w:val="00D46DDF"/>
    <w:rsid w:val="00D47590"/>
    <w:rsid w:val="00D47D24"/>
    <w:rsid w:val="00D57CFD"/>
    <w:rsid w:val="00D6585D"/>
    <w:rsid w:val="00D67E27"/>
    <w:rsid w:val="00D710E7"/>
    <w:rsid w:val="00D740E7"/>
    <w:rsid w:val="00D752DE"/>
    <w:rsid w:val="00D75C92"/>
    <w:rsid w:val="00D81DDB"/>
    <w:rsid w:val="00D86C91"/>
    <w:rsid w:val="00D95229"/>
    <w:rsid w:val="00DA156B"/>
    <w:rsid w:val="00DA360C"/>
    <w:rsid w:val="00DA4ADF"/>
    <w:rsid w:val="00DB5FB9"/>
    <w:rsid w:val="00DB69DB"/>
    <w:rsid w:val="00DC0500"/>
    <w:rsid w:val="00DC383C"/>
    <w:rsid w:val="00DD0137"/>
    <w:rsid w:val="00DD2FAE"/>
    <w:rsid w:val="00DD63AD"/>
    <w:rsid w:val="00DE13D0"/>
    <w:rsid w:val="00DF36EC"/>
    <w:rsid w:val="00E1266C"/>
    <w:rsid w:val="00E1523F"/>
    <w:rsid w:val="00E167DE"/>
    <w:rsid w:val="00E209C3"/>
    <w:rsid w:val="00E235E3"/>
    <w:rsid w:val="00E37A7E"/>
    <w:rsid w:val="00E4144B"/>
    <w:rsid w:val="00E5024E"/>
    <w:rsid w:val="00E53C0F"/>
    <w:rsid w:val="00E54CA5"/>
    <w:rsid w:val="00E560CD"/>
    <w:rsid w:val="00E561C5"/>
    <w:rsid w:val="00E62668"/>
    <w:rsid w:val="00E631F7"/>
    <w:rsid w:val="00E640DE"/>
    <w:rsid w:val="00E67304"/>
    <w:rsid w:val="00E67BF2"/>
    <w:rsid w:val="00E719BE"/>
    <w:rsid w:val="00E779D8"/>
    <w:rsid w:val="00E77AAC"/>
    <w:rsid w:val="00E92627"/>
    <w:rsid w:val="00E97AFC"/>
    <w:rsid w:val="00EB27C6"/>
    <w:rsid w:val="00EC04A1"/>
    <w:rsid w:val="00EC45BF"/>
    <w:rsid w:val="00ED7B1C"/>
    <w:rsid w:val="00EE201D"/>
    <w:rsid w:val="00EF438F"/>
    <w:rsid w:val="00F00826"/>
    <w:rsid w:val="00F0130D"/>
    <w:rsid w:val="00F061DA"/>
    <w:rsid w:val="00F145ED"/>
    <w:rsid w:val="00F1681D"/>
    <w:rsid w:val="00F42059"/>
    <w:rsid w:val="00F431F6"/>
    <w:rsid w:val="00F43B8F"/>
    <w:rsid w:val="00F472F9"/>
    <w:rsid w:val="00F5034F"/>
    <w:rsid w:val="00F577CD"/>
    <w:rsid w:val="00F57BB0"/>
    <w:rsid w:val="00F67DDC"/>
    <w:rsid w:val="00F80D6F"/>
    <w:rsid w:val="00F830F6"/>
    <w:rsid w:val="00FA2F7E"/>
    <w:rsid w:val="00FA550E"/>
    <w:rsid w:val="00FA5CEC"/>
    <w:rsid w:val="00FB4DA7"/>
    <w:rsid w:val="00FB7280"/>
    <w:rsid w:val="00FB7921"/>
    <w:rsid w:val="00FC744E"/>
    <w:rsid w:val="00FE2840"/>
    <w:rsid w:val="00FE3E81"/>
    <w:rsid w:val="00FE751F"/>
    <w:rsid w:val="00FF766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7AAC"/>
    <w:pPr>
      <w:spacing w:after="120"/>
      <w:jc w:val="both"/>
    </w:pPr>
    <w:rPr>
      <w:sz w:val="24"/>
      <w:szCs w:val="22"/>
      <w:lang w:eastAsia="en-US"/>
    </w:rPr>
  </w:style>
  <w:style w:type="paragraph" w:styleId="Nagwek1">
    <w:name w:val="heading 1"/>
    <w:basedOn w:val="Normalny"/>
    <w:next w:val="Normalny"/>
    <w:link w:val="Nagwek1Znak"/>
    <w:uiPriority w:val="9"/>
    <w:qFormat/>
    <w:rsid w:val="00774626"/>
    <w:pPr>
      <w:keepNext/>
      <w:keepLines/>
      <w:spacing w:before="240"/>
      <w:jc w:val="left"/>
      <w:outlineLvl w:val="0"/>
    </w:pPr>
    <w:rPr>
      <w:rFonts w:eastAsia="Times New Roman"/>
      <w:b/>
      <w:color w:val="000000"/>
      <w:sz w:val="28"/>
      <w:szCs w:val="32"/>
    </w:rPr>
  </w:style>
  <w:style w:type="paragraph" w:styleId="Nagwek2">
    <w:name w:val="heading 2"/>
    <w:basedOn w:val="Normalny"/>
    <w:next w:val="Normalny"/>
    <w:link w:val="Nagwek2Znak"/>
    <w:uiPriority w:val="9"/>
    <w:unhideWhenUsed/>
    <w:qFormat/>
    <w:rsid w:val="00DA360C"/>
    <w:pPr>
      <w:keepNext/>
      <w:keepLines/>
      <w:spacing w:before="40"/>
      <w:outlineLvl w:val="1"/>
    </w:pPr>
    <w:rPr>
      <w:rFonts w:eastAsia="Times New Roman"/>
      <w:b/>
      <w:color w:val="000000"/>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774626"/>
    <w:rPr>
      <w:rFonts w:eastAsia="Times New Roman"/>
      <w:b/>
      <w:color w:val="000000"/>
      <w:sz w:val="28"/>
      <w:szCs w:val="32"/>
      <w:lang w:eastAsia="en-US"/>
    </w:rPr>
  </w:style>
  <w:style w:type="character" w:customStyle="1" w:styleId="Nagwek2Znak">
    <w:name w:val="Nagłówek 2 Znak"/>
    <w:link w:val="Nagwek2"/>
    <w:uiPriority w:val="9"/>
    <w:rsid w:val="00DA360C"/>
    <w:rPr>
      <w:rFonts w:eastAsia="Times New Roman" w:cs="Times New Roman"/>
      <w:b/>
      <w:color w:val="000000"/>
      <w:sz w:val="26"/>
      <w:szCs w:val="26"/>
    </w:rPr>
  </w:style>
  <w:style w:type="paragraph" w:customStyle="1" w:styleId="Default">
    <w:name w:val="Default"/>
    <w:rsid w:val="00D81DDB"/>
    <w:pPr>
      <w:autoSpaceDE w:val="0"/>
      <w:autoSpaceDN w:val="0"/>
      <w:adjustRightInd w:val="0"/>
    </w:pPr>
    <w:rPr>
      <w:rFonts w:ascii="Times New Roman" w:hAnsi="Times New Roman"/>
      <w:color w:val="000000"/>
      <w:sz w:val="24"/>
      <w:szCs w:val="24"/>
      <w:lang w:eastAsia="en-US"/>
    </w:rPr>
  </w:style>
  <w:style w:type="paragraph" w:styleId="Akapitzlist">
    <w:name w:val="List Paragraph"/>
    <w:basedOn w:val="Normalny"/>
    <w:uiPriority w:val="34"/>
    <w:qFormat/>
    <w:rsid w:val="00046E0B"/>
    <w:pPr>
      <w:ind w:left="720"/>
      <w:contextualSpacing/>
    </w:pPr>
  </w:style>
  <w:style w:type="paragraph" w:styleId="Tekstprzypisudolnego">
    <w:name w:val="footnote text"/>
    <w:basedOn w:val="Normalny"/>
    <w:link w:val="TekstprzypisudolnegoZnak"/>
    <w:unhideWhenUsed/>
    <w:qFormat/>
    <w:rsid w:val="00E235E3"/>
    <w:pPr>
      <w:spacing w:after="0"/>
    </w:pPr>
    <w:rPr>
      <w:sz w:val="20"/>
      <w:szCs w:val="20"/>
    </w:rPr>
  </w:style>
  <w:style w:type="character" w:customStyle="1" w:styleId="TekstprzypisudolnegoZnak">
    <w:name w:val="Tekst przypisu dolnego Znak"/>
    <w:link w:val="Tekstprzypisudolnego"/>
    <w:rsid w:val="00E235E3"/>
    <w:rPr>
      <w:sz w:val="20"/>
      <w:szCs w:val="20"/>
    </w:rPr>
  </w:style>
  <w:style w:type="character" w:styleId="Odwoanieprzypisudolnego">
    <w:name w:val="footnote reference"/>
    <w:uiPriority w:val="99"/>
    <w:unhideWhenUsed/>
    <w:rsid w:val="00E235E3"/>
    <w:rPr>
      <w:vertAlign w:val="superscript"/>
    </w:rPr>
  </w:style>
  <w:style w:type="paragraph" w:styleId="Bezodstpw">
    <w:name w:val="No Spacing"/>
    <w:link w:val="BezodstpwZnak"/>
    <w:uiPriority w:val="1"/>
    <w:qFormat/>
    <w:rsid w:val="009E00CE"/>
    <w:rPr>
      <w:rFonts w:eastAsia="Times New Roman"/>
      <w:sz w:val="22"/>
      <w:szCs w:val="22"/>
    </w:rPr>
  </w:style>
  <w:style w:type="character" w:customStyle="1" w:styleId="BezodstpwZnak">
    <w:name w:val="Bez odstępów Znak"/>
    <w:link w:val="Bezodstpw"/>
    <w:uiPriority w:val="1"/>
    <w:rsid w:val="009E00CE"/>
    <w:rPr>
      <w:rFonts w:eastAsia="Times New Roman"/>
      <w:lang w:eastAsia="pl-PL"/>
    </w:rPr>
  </w:style>
  <w:style w:type="paragraph" w:styleId="Nagwekspisutreci">
    <w:name w:val="TOC Heading"/>
    <w:basedOn w:val="Nagwek1"/>
    <w:next w:val="Normalny"/>
    <w:uiPriority w:val="39"/>
    <w:unhideWhenUsed/>
    <w:qFormat/>
    <w:rsid w:val="009756E2"/>
    <w:pPr>
      <w:outlineLvl w:val="9"/>
    </w:pPr>
    <w:rPr>
      <w:lang w:eastAsia="pl-PL"/>
    </w:rPr>
  </w:style>
  <w:style w:type="paragraph" w:styleId="Spistreci1">
    <w:name w:val="toc 1"/>
    <w:basedOn w:val="Normalny"/>
    <w:next w:val="Normalny"/>
    <w:autoRedefine/>
    <w:uiPriority w:val="39"/>
    <w:unhideWhenUsed/>
    <w:rsid w:val="00742102"/>
    <w:pPr>
      <w:tabs>
        <w:tab w:val="right" w:leader="dot" w:pos="9062"/>
      </w:tabs>
      <w:spacing w:after="100"/>
    </w:pPr>
  </w:style>
  <w:style w:type="character" w:styleId="Hipercze">
    <w:name w:val="Hyperlink"/>
    <w:uiPriority w:val="99"/>
    <w:unhideWhenUsed/>
    <w:rsid w:val="009E00CE"/>
    <w:rPr>
      <w:color w:val="0563C1"/>
      <w:u w:val="single"/>
    </w:rPr>
  </w:style>
  <w:style w:type="paragraph" w:styleId="Nagwek">
    <w:name w:val="header"/>
    <w:basedOn w:val="Normalny"/>
    <w:link w:val="NagwekZnak"/>
    <w:uiPriority w:val="99"/>
    <w:unhideWhenUsed/>
    <w:rsid w:val="009756E2"/>
    <w:pPr>
      <w:tabs>
        <w:tab w:val="center" w:pos="4536"/>
        <w:tab w:val="right" w:pos="9072"/>
      </w:tabs>
      <w:spacing w:after="0"/>
    </w:pPr>
  </w:style>
  <w:style w:type="character" w:customStyle="1" w:styleId="NagwekZnak">
    <w:name w:val="Nagłówek Znak"/>
    <w:link w:val="Nagwek"/>
    <w:uiPriority w:val="99"/>
    <w:rsid w:val="009756E2"/>
    <w:rPr>
      <w:sz w:val="24"/>
    </w:rPr>
  </w:style>
  <w:style w:type="paragraph" w:styleId="Stopka">
    <w:name w:val="footer"/>
    <w:basedOn w:val="Normalny"/>
    <w:link w:val="StopkaZnak"/>
    <w:uiPriority w:val="99"/>
    <w:unhideWhenUsed/>
    <w:rsid w:val="009756E2"/>
    <w:pPr>
      <w:tabs>
        <w:tab w:val="center" w:pos="4536"/>
        <w:tab w:val="right" w:pos="9072"/>
      </w:tabs>
      <w:spacing w:after="0"/>
    </w:pPr>
  </w:style>
  <w:style w:type="character" w:customStyle="1" w:styleId="StopkaZnak">
    <w:name w:val="Stopka Znak"/>
    <w:link w:val="Stopka"/>
    <w:uiPriority w:val="99"/>
    <w:rsid w:val="009756E2"/>
    <w:rPr>
      <w:sz w:val="24"/>
    </w:rPr>
  </w:style>
  <w:style w:type="table" w:customStyle="1" w:styleId="PlainTable1">
    <w:name w:val="Plain Table 1"/>
    <w:basedOn w:val="Standardowy"/>
    <w:uiPriority w:val="41"/>
    <w:rsid w:val="00D47D24"/>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egenda">
    <w:name w:val="caption"/>
    <w:basedOn w:val="Normalny"/>
    <w:next w:val="Normalny"/>
    <w:uiPriority w:val="35"/>
    <w:unhideWhenUsed/>
    <w:qFormat/>
    <w:rsid w:val="00D47D24"/>
    <w:pPr>
      <w:spacing w:after="200"/>
    </w:pPr>
    <w:rPr>
      <w:i/>
      <w:iCs/>
      <w:color w:val="44546A"/>
      <w:sz w:val="18"/>
      <w:szCs w:val="18"/>
    </w:rPr>
  </w:style>
  <w:style w:type="character" w:styleId="Tytuksiki">
    <w:name w:val="Book Title"/>
    <w:uiPriority w:val="33"/>
    <w:qFormat/>
    <w:rsid w:val="00D47D24"/>
    <w:rPr>
      <w:rFonts w:ascii="Calibri" w:hAnsi="Calibri"/>
      <w:b/>
      <w:bCs/>
      <w:i w:val="0"/>
      <w:iCs/>
      <w:color w:val="auto"/>
      <w:spacing w:val="5"/>
      <w:sz w:val="20"/>
    </w:rPr>
  </w:style>
  <w:style w:type="character" w:styleId="Odwoaniedelikatne">
    <w:name w:val="Subtle Reference"/>
    <w:uiPriority w:val="31"/>
    <w:qFormat/>
    <w:rsid w:val="00D47D24"/>
    <w:rPr>
      <w:rFonts w:ascii="Calibri" w:hAnsi="Calibri"/>
      <w:smallCaps/>
      <w:color w:val="auto"/>
      <w:sz w:val="20"/>
    </w:rPr>
  </w:style>
  <w:style w:type="paragraph" w:styleId="Spistreci2">
    <w:name w:val="toc 2"/>
    <w:basedOn w:val="Normalny"/>
    <w:next w:val="Normalny"/>
    <w:autoRedefine/>
    <w:uiPriority w:val="39"/>
    <w:unhideWhenUsed/>
    <w:rsid w:val="00B87144"/>
    <w:pPr>
      <w:tabs>
        <w:tab w:val="right" w:leader="dot" w:pos="9062"/>
      </w:tabs>
      <w:spacing w:after="100"/>
      <w:ind w:left="284"/>
    </w:pPr>
  </w:style>
  <w:style w:type="table" w:styleId="Tabela-Siatka">
    <w:name w:val="Table Grid"/>
    <w:basedOn w:val="Standardowy"/>
    <w:uiPriority w:val="39"/>
    <w:rsid w:val="00070A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D95229"/>
    <w:pPr>
      <w:spacing w:after="0"/>
    </w:pPr>
    <w:rPr>
      <w:sz w:val="20"/>
      <w:szCs w:val="20"/>
    </w:rPr>
  </w:style>
  <w:style w:type="character" w:customStyle="1" w:styleId="TekstprzypisukocowegoZnak">
    <w:name w:val="Tekst przypisu końcowego Znak"/>
    <w:link w:val="Tekstprzypisukocowego"/>
    <w:uiPriority w:val="99"/>
    <w:semiHidden/>
    <w:rsid w:val="00D95229"/>
    <w:rPr>
      <w:sz w:val="20"/>
      <w:szCs w:val="20"/>
    </w:rPr>
  </w:style>
  <w:style w:type="character" w:styleId="Odwoanieprzypisukocowego">
    <w:name w:val="endnote reference"/>
    <w:uiPriority w:val="99"/>
    <w:semiHidden/>
    <w:unhideWhenUsed/>
    <w:rsid w:val="00D95229"/>
    <w:rPr>
      <w:vertAlign w:val="superscript"/>
    </w:rPr>
  </w:style>
  <w:style w:type="character" w:styleId="Pogrubienie">
    <w:name w:val="Strong"/>
    <w:uiPriority w:val="22"/>
    <w:qFormat/>
    <w:rsid w:val="00D57CFD"/>
    <w:rPr>
      <w:b/>
      <w:bCs/>
    </w:rPr>
  </w:style>
  <w:style w:type="paragraph" w:customStyle="1" w:styleId="Standard">
    <w:name w:val="Standard"/>
    <w:rsid w:val="00DA360C"/>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Tekstpodstawowy">
    <w:name w:val="Body Text"/>
    <w:basedOn w:val="Normalny"/>
    <w:link w:val="TekstpodstawowyZnak"/>
    <w:uiPriority w:val="99"/>
    <w:semiHidden/>
    <w:unhideWhenUsed/>
    <w:rsid w:val="00C37CC7"/>
  </w:style>
  <w:style w:type="character" w:customStyle="1" w:styleId="TekstpodstawowyZnak">
    <w:name w:val="Tekst podstawowy Znak"/>
    <w:link w:val="Tekstpodstawowy"/>
    <w:uiPriority w:val="99"/>
    <w:semiHidden/>
    <w:rsid w:val="00C37CC7"/>
    <w:rPr>
      <w:sz w:val="24"/>
    </w:rPr>
  </w:style>
  <w:style w:type="table" w:customStyle="1" w:styleId="PlainTable2">
    <w:name w:val="Plain Table 2"/>
    <w:basedOn w:val="Standardowy"/>
    <w:uiPriority w:val="42"/>
    <w:rsid w:val="00D752DE"/>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rdotabeli">
    <w:name w:val="Źródło tabeli"/>
    <w:aliases w:val="wykresu"/>
    <w:basedOn w:val="Normalny"/>
    <w:qFormat/>
    <w:rsid w:val="00B62BE6"/>
    <w:rPr>
      <w:sz w:val="20"/>
    </w:rPr>
  </w:style>
  <w:style w:type="table" w:customStyle="1" w:styleId="GridTable1LightAccent5">
    <w:name w:val="Grid Table 1 Light Accent 5"/>
    <w:basedOn w:val="Standardowy"/>
    <w:uiPriority w:val="46"/>
    <w:rsid w:val="00B62BE6"/>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
    <w:name w:val="Grid Table 1 Light Accent 1"/>
    <w:basedOn w:val="Standardowy"/>
    <w:uiPriority w:val="46"/>
    <w:rsid w:val="00587747"/>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AD3BBD"/>
    <w:rPr>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Light">
    <w:name w:val="Grid Table Light"/>
    <w:basedOn w:val="Standardowy"/>
    <w:uiPriority w:val="40"/>
    <w:rsid w:val="00CC4644"/>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2E0921"/>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2E0921"/>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28667096">
      <w:bodyDiv w:val="1"/>
      <w:marLeft w:val="0"/>
      <w:marRight w:val="0"/>
      <w:marTop w:val="0"/>
      <w:marBottom w:val="0"/>
      <w:divBdr>
        <w:top w:val="none" w:sz="0" w:space="0" w:color="auto"/>
        <w:left w:val="none" w:sz="0" w:space="0" w:color="auto"/>
        <w:bottom w:val="none" w:sz="0" w:space="0" w:color="auto"/>
        <w:right w:val="none" w:sz="0" w:space="0" w:color="auto"/>
      </w:divBdr>
    </w:div>
    <w:div w:id="200166633">
      <w:bodyDiv w:val="1"/>
      <w:marLeft w:val="0"/>
      <w:marRight w:val="0"/>
      <w:marTop w:val="0"/>
      <w:marBottom w:val="0"/>
      <w:divBdr>
        <w:top w:val="none" w:sz="0" w:space="0" w:color="auto"/>
        <w:left w:val="none" w:sz="0" w:space="0" w:color="auto"/>
        <w:bottom w:val="none" w:sz="0" w:space="0" w:color="auto"/>
        <w:right w:val="none" w:sz="0" w:space="0" w:color="auto"/>
      </w:divBdr>
      <w:divsChild>
        <w:div w:id="287203735">
          <w:marLeft w:val="547"/>
          <w:marRight w:val="0"/>
          <w:marTop w:val="0"/>
          <w:marBottom w:val="0"/>
          <w:divBdr>
            <w:top w:val="none" w:sz="0" w:space="0" w:color="auto"/>
            <w:left w:val="none" w:sz="0" w:space="0" w:color="auto"/>
            <w:bottom w:val="none" w:sz="0" w:space="0" w:color="auto"/>
            <w:right w:val="none" w:sz="0" w:space="0" w:color="auto"/>
          </w:divBdr>
        </w:div>
      </w:divsChild>
    </w:div>
    <w:div w:id="349259209">
      <w:bodyDiv w:val="1"/>
      <w:marLeft w:val="0"/>
      <w:marRight w:val="0"/>
      <w:marTop w:val="0"/>
      <w:marBottom w:val="0"/>
      <w:divBdr>
        <w:top w:val="none" w:sz="0" w:space="0" w:color="auto"/>
        <w:left w:val="none" w:sz="0" w:space="0" w:color="auto"/>
        <w:bottom w:val="none" w:sz="0" w:space="0" w:color="auto"/>
        <w:right w:val="none" w:sz="0" w:space="0" w:color="auto"/>
      </w:divBdr>
    </w:div>
    <w:div w:id="388773676">
      <w:bodyDiv w:val="1"/>
      <w:marLeft w:val="0"/>
      <w:marRight w:val="0"/>
      <w:marTop w:val="0"/>
      <w:marBottom w:val="0"/>
      <w:divBdr>
        <w:top w:val="none" w:sz="0" w:space="0" w:color="auto"/>
        <w:left w:val="none" w:sz="0" w:space="0" w:color="auto"/>
        <w:bottom w:val="none" w:sz="0" w:space="0" w:color="auto"/>
        <w:right w:val="none" w:sz="0" w:space="0" w:color="auto"/>
      </w:divBdr>
    </w:div>
    <w:div w:id="610089901">
      <w:bodyDiv w:val="1"/>
      <w:marLeft w:val="0"/>
      <w:marRight w:val="0"/>
      <w:marTop w:val="0"/>
      <w:marBottom w:val="0"/>
      <w:divBdr>
        <w:top w:val="none" w:sz="0" w:space="0" w:color="auto"/>
        <w:left w:val="none" w:sz="0" w:space="0" w:color="auto"/>
        <w:bottom w:val="none" w:sz="0" w:space="0" w:color="auto"/>
        <w:right w:val="none" w:sz="0" w:space="0" w:color="auto"/>
      </w:divBdr>
      <w:divsChild>
        <w:div w:id="437143868">
          <w:marLeft w:val="547"/>
          <w:marRight w:val="0"/>
          <w:marTop w:val="0"/>
          <w:marBottom w:val="0"/>
          <w:divBdr>
            <w:top w:val="none" w:sz="0" w:space="0" w:color="auto"/>
            <w:left w:val="none" w:sz="0" w:space="0" w:color="auto"/>
            <w:bottom w:val="none" w:sz="0" w:space="0" w:color="auto"/>
            <w:right w:val="none" w:sz="0" w:space="0" w:color="auto"/>
          </w:divBdr>
        </w:div>
      </w:divsChild>
    </w:div>
    <w:div w:id="640842310">
      <w:bodyDiv w:val="1"/>
      <w:marLeft w:val="0"/>
      <w:marRight w:val="0"/>
      <w:marTop w:val="0"/>
      <w:marBottom w:val="0"/>
      <w:divBdr>
        <w:top w:val="none" w:sz="0" w:space="0" w:color="auto"/>
        <w:left w:val="none" w:sz="0" w:space="0" w:color="auto"/>
        <w:bottom w:val="none" w:sz="0" w:space="0" w:color="auto"/>
        <w:right w:val="none" w:sz="0" w:space="0" w:color="auto"/>
      </w:divBdr>
    </w:div>
    <w:div w:id="691609260">
      <w:bodyDiv w:val="1"/>
      <w:marLeft w:val="0"/>
      <w:marRight w:val="0"/>
      <w:marTop w:val="0"/>
      <w:marBottom w:val="0"/>
      <w:divBdr>
        <w:top w:val="none" w:sz="0" w:space="0" w:color="auto"/>
        <w:left w:val="none" w:sz="0" w:space="0" w:color="auto"/>
        <w:bottom w:val="none" w:sz="0" w:space="0" w:color="auto"/>
        <w:right w:val="none" w:sz="0" w:space="0" w:color="auto"/>
      </w:divBdr>
    </w:div>
    <w:div w:id="804087000">
      <w:bodyDiv w:val="1"/>
      <w:marLeft w:val="0"/>
      <w:marRight w:val="0"/>
      <w:marTop w:val="0"/>
      <w:marBottom w:val="0"/>
      <w:divBdr>
        <w:top w:val="none" w:sz="0" w:space="0" w:color="auto"/>
        <w:left w:val="none" w:sz="0" w:space="0" w:color="auto"/>
        <w:bottom w:val="none" w:sz="0" w:space="0" w:color="auto"/>
        <w:right w:val="none" w:sz="0" w:space="0" w:color="auto"/>
      </w:divBdr>
    </w:div>
    <w:div w:id="829952298">
      <w:bodyDiv w:val="1"/>
      <w:marLeft w:val="0"/>
      <w:marRight w:val="0"/>
      <w:marTop w:val="0"/>
      <w:marBottom w:val="0"/>
      <w:divBdr>
        <w:top w:val="none" w:sz="0" w:space="0" w:color="auto"/>
        <w:left w:val="none" w:sz="0" w:space="0" w:color="auto"/>
        <w:bottom w:val="none" w:sz="0" w:space="0" w:color="auto"/>
        <w:right w:val="none" w:sz="0" w:space="0" w:color="auto"/>
      </w:divBdr>
    </w:div>
    <w:div w:id="1102261662">
      <w:bodyDiv w:val="1"/>
      <w:marLeft w:val="0"/>
      <w:marRight w:val="0"/>
      <w:marTop w:val="0"/>
      <w:marBottom w:val="0"/>
      <w:divBdr>
        <w:top w:val="none" w:sz="0" w:space="0" w:color="auto"/>
        <w:left w:val="none" w:sz="0" w:space="0" w:color="auto"/>
        <w:bottom w:val="none" w:sz="0" w:space="0" w:color="auto"/>
        <w:right w:val="none" w:sz="0" w:space="0" w:color="auto"/>
      </w:divBdr>
    </w:div>
    <w:div w:id="1124351090">
      <w:bodyDiv w:val="1"/>
      <w:marLeft w:val="0"/>
      <w:marRight w:val="0"/>
      <w:marTop w:val="0"/>
      <w:marBottom w:val="0"/>
      <w:divBdr>
        <w:top w:val="none" w:sz="0" w:space="0" w:color="auto"/>
        <w:left w:val="none" w:sz="0" w:space="0" w:color="auto"/>
        <w:bottom w:val="none" w:sz="0" w:space="0" w:color="auto"/>
        <w:right w:val="none" w:sz="0" w:space="0" w:color="auto"/>
      </w:divBdr>
    </w:div>
    <w:div w:id="1127426950">
      <w:bodyDiv w:val="1"/>
      <w:marLeft w:val="0"/>
      <w:marRight w:val="0"/>
      <w:marTop w:val="0"/>
      <w:marBottom w:val="0"/>
      <w:divBdr>
        <w:top w:val="none" w:sz="0" w:space="0" w:color="auto"/>
        <w:left w:val="none" w:sz="0" w:space="0" w:color="auto"/>
        <w:bottom w:val="none" w:sz="0" w:space="0" w:color="auto"/>
        <w:right w:val="none" w:sz="0" w:space="0" w:color="auto"/>
      </w:divBdr>
    </w:div>
    <w:div w:id="1320768589">
      <w:bodyDiv w:val="1"/>
      <w:marLeft w:val="0"/>
      <w:marRight w:val="0"/>
      <w:marTop w:val="0"/>
      <w:marBottom w:val="0"/>
      <w:divBdr>
        <w:top w:val="none" w:sz="0" w:space="0" w:color="auto"/>
        <w:left w:val="none" w:sz="0" w:space="0" w:color="auto"/>
        <w:bottom w:val="none" w:sz="0" w:space="0" w:color="auto"/>
        <w:right w:val="none" w:sz="0" w:space="0" w:color="auto"/>
      </w:divBdr>
      <w:divsChild>
        <w:div w:id="1132601062">
          <w:marLeft w:val="0"/>
          <w:marRight w:val="0"/>
          <w:marTop w:val="0"/>
          <w:marBottom w:val="0"/>
          <w:divBdr>
            <w:top w:val="none" w:sz="0" w:space="0" w:color="auto"/>
            <w:left w:val="none" w:sz="0" w:space="0" w:color="auto"/>
            <w:bottom w:val="none" w:sz="0" w:space="0" w:color="auto"/>
            <w:right w:val="none" w:sz="0" w:space="0" w:color="auto"/>
          </w:divBdr>
        </w:div>
      </w:divsChild>
    </w:div>
    <w:div w:id="1388987748">
      <w:bodyDiv w:val="1"/>
      <w:marLeft w:val="0"/>
      <w:marRight w:val="0"/>
      <w:marTop w:val="0"/>
      <w:marBottom w:val="0"/>
      <w:divBdr>
        <w:top w:val="none" w:sz="0" w:space="0" w:color="auto"/>
        <w:left w:val="none" w:sz="0" w:space="0" w:color="auto"/>
        <w:bottom w:val="none" w:sz="0" w:space="0" w:color="auto"/>
        <w:right w:val="none" w:sz="0" w:space="0" w:color="auto"/>
      </w:divBdr>
    </w:div>
    <w:div w:id="1511724288">
      <w:bodyDiv w:val="1"/>
      <w:marLeft w:val="0"/>
      <w:marRight w:val="0"/>
      <w:marTop w:val="0"/>
      <w:marBottom w:val="0"/>
      <w:divBdr>
        <w:top w:val="none" w:sz="0" w:space="0" w:color="auto"/>
        <w:left w:val="none" w:sz="0" w:space="0" w:color="auto"/>
        <w:bottom w:val="none" w:sz="0" w:space="0" w:color="auto"/>
        <w:right w:val="none" w:sz="0" w:space="0" w:color="auto"/>
      </w:divBdr>
    </w:div>
    <w:div w:id="1591085638">
      <w:bodyDiv w:val="1"/>
      <w:marLeft w:val="0"/>
      <w:marRight w:val="0"/>
      <w:marTop w:val="0"/>
      <w:marBottom w:val="0"/>
      <w:divBdr>
        <w:top w:val="none" w:sz="0" w:space="0" w:color="auto"/>
        <w:left w:val="none" w:sz="0" w:space="0" w:color="auto"/>
        <w:bottom w:val="none" w:sz="0" w:space="0" w:color="auto"/>
        <w:right w:val="none" w:sz="0" w:space="0" w:color="auto"/>
      </w:divBdr>
    </w:div>
    <w:div w:id="1623224259">
      <w:bodyDiv w:val="1"/>
      <w:marLeft w:val="0"/>
      <w:marRight w:val="0"/>
      <w:marTop w:val="0"/>
      <w:marBottom w:val="0"/>
      <w:divBdr>
        <w:top w:val="none" w:sz="0" w:space="0" w:color="auto"/>
        <w:left w:val="none" w:sz="0" w:space="0" w:color="auto"/>
        <w:bottom w:val="none" w:sz="0" w:space="0" w:color="auto"/>
        <w:right w:val="none" w:sz="0" w:space="0" w:color="auto"/>
      </w:divBdr>
    </w:div>
    <w:div w:id="1624263253">
      <w:bodyDiv w:val="1"/>
      <w:marLeft w:val="0"/>
      <w:marRight w:val="0"/>
      <w:marTop w:val="0"/>
      <w:marBottom w:val="0"/>
      <w:divBdr>
        <w:top w:val="none" w:sz="0" w:space="0" w:color="auto"/>
        <w:left w:val="none" w:sz="0" w:space="0" w:color="auto"/>
        <w:bottom w:val="none" w:sz="0" w:space="0" w:color="auto"/>
        <w:right w:val="none" w:sz="0" w:space="0" w:color="auto"/>
      </w:divBdr>
    </w:div>
    <w:div w:id="1627393789">
      <w:bodyDiv w:val="1"/>
      <w:marLeft w:val="0"/>
      <w:marRight w:val="0"/>
      <w:marTop w:val="0"/>
      <w:marBottom w:val="0"/>
      <w:divBdr>
        <w:top w:val="none" w:sz="0" w:space="0" w:color="auto"/>
        <w:left w:val="none" w:sz="0" w:space="0" w:color="auto"/>
        <w:bottom w:val="none" w:sz="0" w:space="0" w:color="auto"/>
        <w:right w:val="none" w:sz="0" w:space="0" w:color="auto"/>
      </w:divBdr>
      <w:divsChild>
        <w:div w:id="1448698749">
          <w:marLeft w:val="547"/>
          <w:marRight w:val="0"/>
          <w:marTop w:val="0"/>
          <w:marBottom w:val="0"/>
          <w:divBdr>
            <w:top w:val="none" w:sz="0" w:space="0" w:color="auto"/>
            <w:left w:val="none" w:sz="0" w:space="0" w:color="auto"/>
            <w:bottom w:val="none" w:sz="0" w:space="0" w:color="auto"/>
            <w:right w:val="none" w:sz="0" w:space="0" w:color="auto"/>
          </w:divBdr>
        </w:div>
      </w:divsChild>
    </w:div>
    <w:div w:id="1631086003">
      <w:bodyDiv w:val="1"/>
      <w:marLeft w:val="0"/>
      <w:marRight w:val="0"/>
      <w:marTop w:val="0"/>
      <w:marBottom w:val="0"/>
      <w:divBdr>
        <w:top w:val="none" w:sz="0" w:space="0" w:color="auto"/>
        <w:left w:val="none" w:sz="0" w:space="0" w:color="auto"/>
        <w:bottom w:val="none" w:sz="0" w:space="0" w:color="auto"/>
        <w:right w:val="none" w:sz="0" w:space="0" w:color="auto"/>
      </w:divBdr>
      <w:divsChild>
        <w:div w:id="1139884382">
          <w:marLeft w:val="547"/>
          <w:marRight w:val="0"/>
          <w:marTop w:val="0"/>
          <w:marBottom w:val="0"/>
          <w:divBdr>
            <w:top w:val="none" w:sz="0" w:space="0" w:color="auto"/>
            <w:left w:val="none" w:sz="0" w:space="0" w:color="auto"/>
            <w:bottom w:val="none" w:sz="0" w:space="0" w:color="auto"/>
            <w:right w:val="none" w:sz="0" w:space="0" w:color="auto"/>
          </w:divBdr>
        </w:div>
      </w:divsChild>
    </w:div>
    <w:div w:id="1893224211">
      <w:bodyDiv w:val="1"/>
      <w:marLeft w:val="0"/>
      <w:marRight w:val="0"/>
      <w:marTop w:val="0"/>
      <w:marBottom w:val="0"/>
      <w:divBdr>
        <w:top w:val="none" w:sz="0" w:space="0" w:color="auto"/>
        <w:left w:val="none" w:sz="0" w:space="0" w:color="auto"/>
        <w:bottom w:val="none" w:sz="0" w:space="0" w:color="auto"/>
        <w:right w:val="none" w:sz="0" w:space="0" w:color="auto"/>
      </w:divBdr>
    </w:div>
    <w:div w:id="1950621441">
      <w:bodyDiv w:val="1"/>
      <w:marLeft w:val="0"/>
      <w:marRight w:val="0"/>
      <w:marTop w:val="0"/>
      <w:marBottom w:val="0"/>
      <w:divBdr>
        <w:top w:val="none" w:sz="0" w:space="0" w:color="auto"/>
        <w:left w:val="none" w:sz="0" w:space="0" w:color="auto"/>
        <w:bottom w:val="none" w:sz="0" w:space="0" w:color="auto"/>
        <w:right w:val="none" w:sz="0" w:space="0" w:color="auto"/>
      </w:divBdr>
      <w:divsChild>
        <w:div w:id="1197814857">
          <w:marLeft w:val="547"/>
          <w:marRight w:val="0"/>
          <w:marTop w:val="0"/>
          <w:marBottom w:val="0"/>
          <w:divBdr>
            <w:top w:val="none" w:sz="0" w:space="0" w:color="auto"/>
            <w:left w:val="none" w:sz="0" w:space="0" w:color="auto"/>
            <w:bottom w:val="none" w:sz="0" w:space="0" w:color="auto"/>
            <w:right w:val="none" w:sz="0" w:space="0" w:color="auto"/>
          </w:divBdr>
        </w:div>
      </w:divsChild>
    </w:div>
    <w:div w:id="209015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D14C160-BF13-4714-B7EF-004C57063C22}" type="doc">
      <dgm:prSet loTypeId="urn:microsoft.com/office/officeart/2005/8/layout/hierarchy4" loCatId="hierarchy" qsTypeId="urn:microsoft.com/office/officeart/2005/8/quickstyle/simple3" qsCatId="simple" csTypeId="urn:microsoft.com/office/officeart/2005/8/colors/accent5_1" csCatId="accent5" phldr="1"/>
      <dgm:spPr/>
      <dgm:t>
        <a:bodyPr/>
        <a:lstStyle/>
        <a:p>
          <a:endParaRPr lang="pl-PL"/>
        </a:p>
      </dgm:t>
    </dgm:pt>
    <dgm:pt modelId="{1FB01EAE-A664-4ADF-9657-A5241FD0BB16}">
      <dgm:prSet phldrT="[Tekst]" custT="1"/>
      <dgm:spPr>
        <a:xfrm>
          <a:off x="0" y="441962"/>
          <a:ext cx="2388588" cy="5904496"/>
        </a:xfrm>
      </dgm:spPr>
      <dgm:t>
        <a:bodyPr/>
        <a:lstStyle/>
        <a:p>
          <a:pPr algn="ctr"/>
          <a:r>
            <a:rPr lang="pl-PL" sz="1800"/>
            <a:t>CEL GŁÓWNY </a:t>
          </a:r>
          <a:br>
            <a:rPr lang="pl-PL" sz="1800"/>
          </a:br>
          <a:r>
            <a:rPr lang="pl-PL" sz="1800"/>
            <a:t>Wzrost skuteczności systemu przeciwdziałania przemocy </a:t>
          </a:r>
          <a:br>
            <a:rPr lang="pl-PL" sz="1800"/>
          </a:br>
          <a:r>
            <a:rPr lang="pl-PL" sz="1800"/>
            <a:t>w rodzinie w powiecie lidzbarskim.</a:t>
          </a:r>
        </a:p>
      </dgm:t>
    </dgm:pt>
    <dgm:pt modelId="{93035E98-A873-4540-AB1A-40ED52433AA4}" type="parTrans" cxnId="{C48CBA2D-3302-412F-9ED3-CB2404C19BC1}">
      <dgm:prSet/>
      <dgm:spPr/>
      <dgm:t>
        <a:bodyPr/>
        <a:lstStyle/>
        <a:p>
          <a:endParaRPr lang="pl-PL" sz="1600"/>
        </a:p>
      </dgm:t>
    </dgm:pt>
    <dgm:pt modelId="{D2837891-A5D1-4FE0-BA1B-1965595372AB}" type="sibTrans" cxnId="{C48CBA2D-3302-412F-9ED3-CB2404C19BC1}">
      <dgm:prSet/>
      <dgm:spPr/>
      <dgm:t>
        <a:bodyPr/>
        <a:lstStyle/>
        <a:p>
          <a:endParaRPr lang="pl-PL" sz="1600"/>
        </a:p>
      </dgm:t>
    </dgm:pt>
    <dgm:pt modelId="{FA7EE90F-27C7-4EF8-9020-547A8CC94DD5}">
      <dgm:prSet phldrT="[Tekst]" custT="1"/>
      <dgm:spPr>
        <a:xfrm>
          <a:off x="3350457" y="84975"/>
          <a:ext cx="2388588" cy="1194294"/>
        </a:xfrm>
      </dgm:spPr>
      <dgm:t>
        <a:bodyPr/>
        <a:lstStyle/>
        <a:p>
          <a:r>
            <a:rPr lang="pl-PL" sz="1400"/>
            <a:t>CEL SZCZEGÓŁOWY 1. </a:t>
          </a:r>
          <a:br>
            <a:rPr lang="pl-PL" sz="1400"/>
          </a:br>
          <a:r>
            <a:rPr lang="pl-PL" sz="1400"/>
            <a:t>Wzmacnianie oddziaływań profilaktycznych służących przeciwdziałaniu </a:t>
          </a:r>
          <a:br>
            <a:rPr lang="pl-PL" sz="1400"/>
          </a:br>
          <a:r>
            <a:rPr lang="pl-PL" sz="1400"/>
            <a:t>przemocy w rodzinie </a:t>
          </a:r>
        </a:p>
      </dgm:t>
    </dgm:pt>
    <dgm:pt modelId="{9B5A8E13-E400-4EFE-AEDB-68164DDD354B}" type="parTrans" cxnId="{7CE87BA1-FB34-4E4A-B143-F26B6872095A}">
      <dgm:prSet/>
      <dgm:spPr>
        <a:xfrm rot="17371653">
          <a:off x="1430720" y="2022493"/>
          <a:ext cx="2877604" cy="31346"/>
        </a:xfrm>
      </dgm:spPr>
      <dgm:t>
        <a:bodyPr/>
        <a:lstStyle/>
        <a:p>
          <a:endParaRPr lang="pl-PL" sz="1600"/>
        </a:p>
      </dgm:t>
    </dgm:pt>
    <dgm:pt modelId="{537ED64A-41E1-4C88-894C-A0727D129DF7}" type="sibTrans" cxnId="{7CE87BA1-FB34-4E4A-B143-F26B6872095A}">
      <dgm:prSet/>
      <dgm:spPr/>
      <dgm:t>
        <a:bodyPr/>
        <a:lstStyle/>
        <a:p>
          <a:endParaRPr lang="pl-PL" sz="1600"/>
        </a:p>
      </dgm:t>
    </dgm:pt>
    <dgm:pt modelId="{656208FE-5F78-49BB-A311-F7A18057391E}">
      <dgm:prSet phldrT="[Tekst]" custT="1"/>
      <dgm:spPr>
        <a:xfrm>
          <a:off x="3350457" y="2831852"/>
          <a:ext cx="2388588" cy="1194294"/>
        </a:xfrm>
      </dgm:spPr>
      <dgm:t>
        <a:bodyPr/>
        <a:lstStyle/>
        <a:p>
          <a:r>
            <a:rPr lang="pl-PL" sz="1400"/>
            <a:t>CEL SZCZEGÓŁOWY 3. </a:t>
          </a:r>
          <a:br>
            <a:rPr lang="pl-PL" sz="1400"/>
          </a:br>
          <a:r>
            <a:rPr lang="pl-PL" sz="1400"/>
            <a:t>Wzmocnienie potencjału oraz współpracy osób, instytucji i organizacji zaangażowanych w przeciwdziałanie przemocy w rodzinie </a:t>
          </a:r>
        </a:p>
      </dgm:t>
    </dgm:pt>
    <dgm:pt modelId="{536A390F-D970-4897-A27D-6D818AAC3268}" type="parTrans" cxnId="{1081C92D-3296-4FD0-A8FF-4AAF17EB414A}">
      <dgm:prSet/>
      <dgm:spPr>
        <a:xfrm rot="124286">
          <a:off x="2388274" y="3395931"/>
          <a:ext cx="962497" cy="31346"/>
        </a:xfrm>
      </dgm:spPr>
      <dgm:t>
        <a:bodyPr/>
        <a:lstStyle/>
        <a:p>
          <a:endParaRPr lang="pl-PL" sz="1600"/>
        </a:p>
      </dgm:t>
    </dgm:pt>
    <dgm:pt modelId="{DD0E9CD7-D100-441D-A4FF-4932775836A2}" type="sibTrans" cxnId="{1081C92D-3296-4FD0-A8FF-4AAF17EB414A}">
      <dgm:prSet/>
      <dgm:spPr/>
      <dgm:t>
        <a:bodyPr/>
        <a:lstStyle/>
        <a:p>
          <a:endParaRPr lang="pl-PL" sz="1600"/>
        </a:p>
      </dgm:t>
    </dgm:pt>
    <dgm:pt modelId="{E9593076-385A-4CB9-92CE-84B12EA72D17}">
      <dgm:prSet phldrT="[Tekst]" custT="1"/>
      <dgm:spPr>
        <a:xfrm>
          <a:off x="3350457" y="1458414"/>
          <a:ext cx="2388588" cy="1194294"/>
        </a:xfrm>
      </dgm:spPr>
      <dgm:t>
        <a:bodyPr/>
        <a:lstStyle/>
        <a:p>
          <a:r>
            <a:rPr lang="pl-PL" sz="1400"/>
            <a:t>CEL SZCZEGÓŁOWY 2. </a:t>
          </a:r>
          <a:br>
            <a:rPr lang="pl-PL" sz="1400"/>
          </a:br>
          <a:r>
            <a:rPr lang="pl-PL" sz="1400"/>
            <a:t>Zwiększanie dostępności pomocy i ochrony dla ofiar przemocy w rodzinie oraz efektywności oddziaływań względem sprawców </a:t>
          </a:r>
        </a:p>
      </dgm:t>
    </dgm:pt>
    <dgm:pt modelId="{1B234818-EE19-4713-8792-B20CAB08D971}" type="parTrans" cxnId="{57CF5905-164A-4869-9A04-E2D21CA3C528}">
      <dgm:prSet/>
      <dgm:spPr>
        <a:xfrm rot="18341919">
          <a:off x="2045330" y="2709212"/>
          <a:ext cx="1648384" cy="31346"/>
        </a:xfrm>
      </dgm:spPr>
      <dgm:t>
        <a:bodyPr/>
        <a:lstStyle/>
        <a:p>
          <a:endParaRPr lang="pl-PL" sz="1600"/>
        </a:p>
      </dgm:t>
    </dgm:pt>
    <dgm:pt modelId="{5BB81C1A-9678-4323-9F3B-3938D253181B}" type="sibTrans" cxnId="{57CF5905-164A-4869-9A04-E2D21CA3C528}">
      <dgm:prSet/>
      <dgm:spPr/>
      <dgm:t>
        <a:bodyPr/>
        <a:lstStyle/>
        <a:p>
          <a:endParaRPr lang="pl-PL" sz="1600"/>
        </a:p>
      </dgm:t>
    </dgm:pt>
    <dgm:pt modelId="{D982B756-5316-486D-A287-7FEDA654724F}" type="pres">
      <dgm:prSet presAssocID="{2D14C160-BF13-4714-B7EF-004C57063C22}" presName="Name0" presStyleCnt="0">
        <dgm:presLayoutVars>
          <dgm:chPref val="1"/>
          <dgm:dir/>
          <dgm:animOne val="branch"/>
          <dgm:animLvl val="lvl"/>
          <dgm:resizeHandles/>
        </dgm:presLayoutVars>
      </dgm:prSet>
      <dgm:spPr/>
      <dgm:t>
        <a:bodyPr/>
        <a:lstStyle/>
        <a:p>
          <a:endParaRPr lang="pl-PL"/>
        </a:p>
      </dgm:t>
    </dgm:pt>
    <dgm:pt modelId="{58C1DE5B-DEB7-49F3-B5F6-2ED9F982B765}" type="pres">
      <dgm:prSet presAssocID="{1FB01EAE-A664-4ADF-9657-A5241FD0BB16}" presName="vertOne" presStyleCnt="0"/>
      <dgm:spPr/>
    </dgm:pt>
    <dgm:pt modelId="{989FEEE3-10C1-4811-A6E6-96D863106C3F}" type="pres">
      <dgm:prSet presAssocID="{1FB01EAE-A664-4ADF-9657-A5241FD0BB16}" presName="txOne" presStyleLbl="node0" presStyleIdx="0" presStyleCnt="1" custScaleY="34798">
        <dgm:presLayoutVars>
          <dgm:chPref val="3"/>
        </dgm:presLayoutVars>
      </dgm:prSet>
      <dgm:spPr/>
      <dgm:t>
        <a:bodyPr/>
        <a:lstStyle/>
        <a:p>
          <a:endParaRPr lang="pl-PL"/>
        </a:p>
      </dgm:t>
    </dgm:pt>
    <dgm:pt modelId="{9D11643B-22D9-4F81-BBF0-7CBE6BEB49A8}" type="pres">
      <dgm:prSet presAssocID="{1FB01EAE-A664-4ADF-9657-A5241FD0BB16}" presName="parTransOne" presStyleCnt="0"/>
      <dgm:spPr/>
    </dgm:pt>
    <dgm:pt modelId="{C52E52E6-6AB3-4075-9188-3399170D58F0}" type="pres">
      <dgm:prSet presAssocID="{1FB01EAE-A664-4ADF-9657-A5241FD0BB16}" presName="horzOne" presStyleCnt="0"/>
      <dgm:spPr/>
    </dgm:pt>
    <dgm:pt modelId="{00E8A4F5-A2E8-474E-B29D-25135F760017}" type="pres">
      <dgm:prSet presAssocID="{FA7EE90F-27C7-4EF8-9020-547A8CC94DD5}" presName="vertTwo" presStyleCnt="0"/>
      <dgm:spPr/>
    </dgm:pt>
    <dgm:pt modelId="{49C6DD77-A068-40BC-AC61-A9BA702878DC}" type="pres">
      <dgm:prSet presAssocID="{FA7EE90F-27C7-4EF8-9020-547A8CC94DD5}" presName="txTwo" presStyleLbl="node2" presStyleIdx="0" presStyleCnt="3">
        <dgm:presLayoutVars>
          <dgm:chPref val="3"/>
        </dgm:presLayoutVars>
      </dgm:prSet>
      <dgm:spPr/>
      <dgm:t>
        <a:bodyPr/>
        <a:lstStyle/>
        <a:p>
          <a:endParaRPr lang="pl-PL"/>
        </a:p>
      </dgm:t>
    </dgm:pt>
    <dgm:pt modelId="{443C1810-AE3B-4D0B-B1E4-3A8B070E67EB}" type="pres">
      <dgm:prSet presAssocID="{FA7EE90F-27C7-4EF8-9020-547A8CC94DD5}" presName="horzTwo" presStyleCnt="0"/>
      <dgm:spPr/>
    </dgm:pt>
    <dgm:pt modelId="{B1F64C4A-87B7-4F1B-9F72-459927B3A04B}" type="pres">
      <dgm:prSet presAssocID="{537ED64A-41E1-4C88-894C-A0727D129DF7}" presName="sibSpaceTwo" presStyleCnt="0"/>
      <dgm:spPr/>
    </dgm:pt>
    <dgm:pt modelId="{96DB4523-C9AE-4BC7-A9C8-F49A752D8A02}" type="pres">
      <dgm:prSet presAssocID="{E9593076-385A-4CB9-92CE-84B12EA72D17}" presName="vertTwo" presStyleCnt="0"/>
      <dgm:spPr/>
    </dgm:pt>
    <dgm:pt modelId="{35F2EB03-CA1E-4AAD-99B4-D9F8ACCC0DE6}" type="pres">
      <dgm:prSet presAssocID="{E9593076-385A-4CB9-92CE-84B12EA72D17}" presName="txTwo" presStyleLbl="node2" presStyleIdx="1" presStyleCnt="3">
        <dgm:presLayoutVars>
          <dgm:chPref val="3"/>
        </dgm:presLayoutVars>
      </dgm:prSet>
      <dgm:spPr/>
      <dgm:t>
        <a:bodyPr/>
        <a:lstStyle/>
        <a:p>
          <a:endParaRPr lang="pl-PL"/>
        </a:p>
      </dgm:t>
    </dgm:pt>
    <dgm:pt modelId="{DD0D7E02-5F1E-45C1-A5CA-C1E6861F061A}" type="pres">
      <dgm:prSet presAssocID="{E9593076-385A-4CB9-92CE-84B12EA72D17}" presName="horzTwo" presStyleCnt="0"/>
      <dgm:spPr/>
    </dgm:pt>
    <dgm:pt modelId="{4379B8E1-6B9D-4197-A226-021FA18308C6}" type="pres">
      <dgm:prSet presAssocID="{5BB81C1A-9678-4323-9F3B-3938D253181B}" presName="sibSpaceTwo" presStyleCnt="0"/>
      <dgm:spPr/>
    </dgm:pt>
    <dgm:pt modelId="{57BA903F-6A37-43B8-84FB-92784076E3E2}" type="pres">
      <dgm:prSet presAssocID="{656208FE-5F78-49BB-A311-F7A18057391E}" presName="vertTwo" presStyleCnt="0"/>
      <dgm:spPr/>
    </dgm:pt>
    <dgm:pt modelId="{381385EC-8330-4E35-AECC-D9943A2EC1DA}" type="pres">
      <dgm:prSet presAssocID="{656208FE-5F78-49BB-A311-F7A18057391E}" presName="txTwo" presStyleLbl="node2" presStyleIdx="2" presStyleCnt="3">
        <dgm:presLayoutVars>
          <dgm:chPref val="3"/>
        </dgm:presLayoutVars>
      </dgm:prSet>
      <dgm:spPr/>
      <dgm:t>
        <a:bodyPr/>
        <a:lstStyle/>
        <a:p>
          <a:endParaRPr lang="pl-PL"/>
        </a:p>
      </dgm:t>
    </dgm:pt>
    <dgm:pt modelId="{B2203567-7901-42D5-B907-B54024C05C67}" type="pres">
      <dgm:prSet presAssocID="{656208FE-5F78-49BB-A311-F7A18057391E}" presName="horzTwo" presStyleCnt="0"/>
      <dgm:spPr/>
    </dgm:pt>
  </dgm:ptLst>
  <dgm:cxnLst>
    <dgm:cxn modelId="{C48CBA2D-3302-412F-9ED3-CB2404C19BC1}" srcId="{2D14C160-BF13-4714-B7EF-004C57063C22}" destId="{1FB01EAE-A664-4ADF-9657-A5241FD0BB16}" srcOrd="0" destOrd="0" parTransId="{93035E98-A873-4540-AB1A-40ED52433AA4}" sibTransId="{D2837891-A5D1-4FE0-BA1B-1965595372AB}"/>
    <dgm:cxn modelId="{B502A746-87DB-4E3D-BFC5-7FD0CE302284}" type="presOf" srcId="{2D14C160-BF13-4714-B7EF-004C57063C22}" destId="{D982B756-5316-486D-A287-7FEDA654724F}" srcOrd="0" destOrd="0" presId="urn:microsoft.com/office/officeart/2005/8/layout/hierarchy4"/>
    <dgm:cxn modelId="{8B908F73-3240-495A-B178-EE4C6DCE4313}" type="presOf" srcId="{656208FE-5F78-49BB-A311-F7A18057391E}" destId="{381385EC-8330-4E35-AECC-D9943A2EC1DA}" srcOrd="0" destOrd="0" presId="urn:microsoft.com/office/officeart/2005/8/layout/hierarchy4"/>
    <dgm:cxn modelId="{EB1014AB-7AE7-4A47-8814-AE11C0E63226}" type="presOf" srcId="{E9593076-385A-4CB9-92CE-84B12EA72D17}" destId="{35F2EB03-CA1E-4AAD-99B4-D9F8ACCC0DE6}" srcOrd="0" destOrd="0" presId="urn:microsoft.com/office/officeart/2005/8/layout/hierarchy4"/>
    <dgm:cxn modelId="{8B8E7D76-4753-4772-9B3D-8345B9DBDBDB}" type="presOf" srcId="{FA7EE90F-27C7-4EF8-9020-547A8CC94DD5}" destId="{49C6DD77-A068-40BC-AC61-A9BA702878DC}" srcOrd="0" destOrd="0" presId="urn:microsoft.com/office/officeart/2005/8/layout/hierarchy4"/>
    <dgm:cxn modelId="{7CE87BA1-FB34-4E4A-B143-F26B6872095A}" srcId="{1FB01EAE-A664-4ADF-9657-A5241FD0BB16}" destId="{FA7EE90F-27C7-4EF8-9020-547A8CC94DD5}" srcOrd="0" destOrd="0" parTransId="{9B5A8E13-E400-4EFE-AEDB-68164DDD354B}" sibTransId="{537ED64A-41E1-4C88-894C-A0727D129DF7}"/>
    <dgm:cxn modelId="{1081C92D-3296-4FD0-A8FF-4AAF17EB414A}" srcId="{1FB01EAE-A664-4ADF-9657-A5241FD0BB16}" destId="{656208FE-5F78-49BB-A311-F7A18057391E}" srcOrd="2" destOrd="0" parTransId="{536A390F-D970-4897-A27D-6D818AAC3268}" sibTransId="{DD0E9CD7-D100-441D-A4FF-4932775836A2}"/>
    <dgm:cxn modelId="{57CF5905-164A-4869-9A04-E2D21CA3C528}" srcId="{1FB01EAE-A664-4ADF-9657-A5241FD0BB16}" destId="{E9593076-385A-4CB9-92CE-84B12EA72D17}" srcOrd="1" destOrd="0" parTransId="{1B234818-EE19-4713-8792-B20CAB08D971}" sibTransId="{5BB81C1A-9678-4323-9F3B-3938D253181B}"/>
    <dgm:cxn modelId="{DBBB885B-14C6-4D32-86B3-7B12C2D98A32}" type="presOf" srcId="{1FB01EAE-A664-4ADF-9657-A5241FD0BB16}" destId="{989FEEE3-10C1-4811-A6E6-96D863106C3F}" srcOrd="0" destOrd="0" presId="urn:microsoft.com/office/officeart/2005/8/layout/hierarchy4"/>
    <dgm:cxn modelId="{F6222A48-4409-42E5-9EC5-5E0C4FCC19BA}" type="presParOf" srcId="{D982B756-5316-486D-A287-7FEDA654724F}" destId="{58C1DE5B-DEB7-49F3-B5F6-2ED9F982B765}" srcOrd="0" destOrd="0" presId="urn:microsoft.com/office/officeart/2005/8/layout/hierarchy4"/>
    <dgm:cxn modelId="{07F48CEA-4A63-4E2D-9293-B7A2840778F7}" type="presParOf" srcId="{58C1DE5B-DEB7-49F3-B5F6-2ED9F982B765}" destId="{989FEEE3-10C1-4811-A6E6-96D863106C3F}" srcOrd="0" destOrd="0" presId="urn:microsoft.com/office/officeart/2005/8/layout/hierarchy4"/>
    <dgm:cxn modelId="{E5340698-952B-41FD-A02B-CD18AE3E6189}" type="presParOf" srcId="{58C1DE5B-DEB7-49F3-B5F6-2ED9F982B765}" destId="{9D11643B-22D9-4F81-BBF0-7CBE6BEB49A8}" srcOrd="1" destOrd="0" presId="urn:microsoft.com/office/officeart/2005/8/layout/hierarchy4"/>
    <dgm:cxn modelId="{B565A2A4-855C-4913-95F2-1F907025CD58}" type="presParOf" srcId="{58C1DE5B-DEB7-49F3-B5F6-2ED9F982B765}" destId="{C52E52E6-6AB3-4075-9188-3399170D58F0}" srcOrd="2" destOrd="0" presId="urn:microsoft.com/office/officeart/2005/8/layout/hierarchy4"/>
    <dgm:cxn modelId="{6260124A-E40A-48B1-977B-7F5E036EEDDA}" type="presParOf" srcId="{C52E52E6-6AB3-4075-9188-3399170D58F0}" destId="{00E8A4F5-A2E8-474E-B29D-25135F760017}" srcOrd="0" destOrd="0" presId="urn:microsoft.com/office/officeart/2005/8/layout/hierarchy4"/>
    <dgm:cxn modelId="{DAA5C18E-A711-41A9-B0FB-D667558051D6}" type="presParOf" srcId="{00E8A4F5-A2E8-474E-B29D-25135F760017}" destId="{49C6DD77-A068-40BC-AC61-A9BA702878DC}" srcOrd="0" destOrd="0" presId="urn:microsoft.com/office/officeart/2005/8/layout/hierarchy4"/>
    <dgm:cxn modelId="{E6BDA24E-B572-4607-8500-6F59DA65A735}" type="presParOf" srcId="{00E8A4F5-A2E8-474E-B29D-25135F760017}" destId="{443C1810-AE3B-4D0B-B1E4-3A8B070E67EB}" srcOrd="1" destOrd="0" presId="urn:microsoft.com/office/officeart/2005/8/layout/hierarchy4"/>
    <dgm:cxn modelId="{345E5FAE-4C16-4D57-AC0A-B4329D444B62}" type="presParOf" srcId="{C52E52E6-6AB3-4075-9188-3399170D58F0}" destId="{B1F64C4A-87B7-4F1B-9F72-459927B3A04B}" srcOrd="1" destOrd="0" presId="urn:microsoft.com/office/officeart/2005/8/layout/hierarchy4"/>
    <dgm:cxn modelId="{CF0C2732-F274-4707-8EED-E0989C840A91}" type="presParOf" srcId="{C52E52E6-6AB3-4075-9188-3399170D58F0}" destId="{96DB4523-C9AE-4BC7-A9C8-F49A752D8A02}" srcOrd="2" destOrd="0" presId="urn:microsoft.com/office/officeart/2005/8/layout/hierarchy4"/>
    <dgm:cxn modelId="{34BDDC54-F2B9-4419-85E3-4036B233EBE9}" type="presParOf" srcId="{96DB4523-C9AE-4BC7-A9C8-F49A752D8A02}" destId="{35F2EB03-CA1E-4AAD-99B4-D9F8ACCC0DE6}" srcOrd="0" destOrd="0" presId="urn:microsoft.com/office/officeart/2005/8/layout/hierarchy4"/>
    <dgm:cxn modelId="{5C367FE4-52CF-4BAF-97C2-7C86FF86B83D}" type="presParOf" srcId="{96DB4523-C9AE-4BC7-A9C8-F49A752D8A02}" destId="{DD0D7E02-5F1E-45C1-A5CA-C1E6861F061A}" srcOrd="1" destOrd="0" presId="urn:microsoft.com/office/officeart/2005/8/layout/hierarchy4"/>
    <dgm:cxn modelId="{8002A5BD-B3F8-4931-9FF2-82F17C8273AC}" type="presParOf" srcId="{C52E52E6-6AB3-4075-9188-3399170D58F0}" destId="{4379B8E1-6B9D-4197-A226-021FA18308C6}" srcOrd="3" destOrd="0" presId="urn:microsoft.com/office/officeart/2005/8/layout/hierarchy4"/>
    <dgm:cxn modelId="{4A4AD858-106F-4B97-B66E-526213FBD7C8}" type="presParOf" srcId="{C52E52E6-6AB3-4075-9188-3399170D58F0}" destId="{57BA903F-6A37-43B8-84FB-92784076E3E2}" srcOrd="4" destOrd="0" presId="urn:microsoft.com/office/officeart/2005/8/layout/hierarchy4"/>
    <dgm:cxn modelId="{CA8A2512-F12B-447B-9AD5-879739B6AD56}" type="presParOf" srcId="{57BA903F-6A37-43B8-84FB-92784076E3E2}" destId="{381385EC-8330-4E35-AECC-D9943A2EC1DA}" srcOrd="0" destOrd="0" presId="urn:microsoft.com/office/officeart/2005/8/layout/hierarchy4"/>
    <dgm:cxn modelId="{B49EF996-3BA2-40E5-A0B2-75BDDFEE3421}" type="presParOf" srcId="{57BA903F-6A37-43B8-84FB-92784076E3E2}" destId="{B2203567-7901-42D5-B907-B54024C05C67}" srcOrd="1" destOrd="0" presId="urn:microsoft.com/office/officeart/2005/8/layout/hierarchy4"/>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89FEEE3-10C1-4811-A6E6-96D863106C3F}">
      <dsp:nvSpPr>
        <dsp:cNvPr id="0" name=""/>
        <dsp:cNvSpPr/>
      </dsp:nvSpPr>
      <dsp:spPr>
        <a:xfrm>
          <a:off x="2030" y="508"/>
          <a:ext cx="5646168" cy="917400"/>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pl-PL" sz="1800" kern="1200"/>
            <a:t>CEL GŁÓWNY </a:t>
          </a:r>
          <a:br>
            <a:rPr lang="pl-PL" sz="1800" kern="1200"/>
          </a:br>
          <a:r>
            <a:rPr lang="pl-PL" sz="1800" kern="1200"/>
            <a:t>Wzrost skuteczności systemu przeciwdziałania przemocy </a:t>
          </a:r>
          <a:br>
            <a:rPr lang="pl-PL" sz="1800" kern="1200"/>
          </a:br>
          <a:r>
            <a:rPr lang="pl-PL" sz="1800" kern="1200"/>
            <a:t>w rodzinie w powiecie lidzbarskim.</a:t>
          </a:r>
        </a:p>
      </dsp:txBody>
      <dsp:txXfrm>
        <a:off x="2030" y="508"/>
        <a:ext cx="5646168" cy="917400"/>
      </dsp:txXfrm>
    </dsp:sp>
    <dsp:sp modelId="{49C6DD77-A068-40BC-AC61-A9BA702878DC}">
      <dsp:nvSpPr>
        <dsp:cNvPr id="0" name=""/>
        <dsp:cNvSpPr/>
      </dsp:nvSpPr>
      <dsp:spPr>
        <a:xfrm>
          <a:off x="2030" y="1138841"/>
          <a:ext cx="1782250" cy="2636360"/>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pl-PL" sz="1400" kern="1200"/>
            <a:t>CEL SZCZEGÓŁOWY 1. </a:t>
          </a:r>
          <a:br>
            <a:rPr lang="pl-PL" sz="1400" kern="1200"/>
          </a:br>
          <a:r>
            <a:rPr lang="pl-PL" sz="1400" kern="1200"/>
            <a:t>Wzmacnianie oddziaływań profilaktycznych służących przeciwdziałaniu </a:t>
          </a:r>
          <a:br>
            <a:rPr lang="pl-PL" sz="1400" kern="1200"/>
          </a:br>
          <a:r>
            <a:rPr lang="pl-PL" sz="1400" kern="1200"/>
            <a:t>przemocy w rodzinie </a:t>
          </a:r>
        </a:p>
      </dsp:txBody>
      <dsp:txXfrm>
        <a:off x="2030" y="1138841"/>
        <a:ext cx="1782250" cy="2636360"/>
      </dsp:txXfrm>
    </dsp:sp>
    <dsp:sp modelId="{35F2EB03-CA1E-4AAD-99B4-D9F8ACCC0DE6}">
      <dsp:nvSpPr>
        <dsp:cNvPr id="0" name=""/>
        <dsp:cNvSpPr/>
      </dsp:nvSpPr>
      <dsp:spPr>
        <a:xfrm>
          <a:off x="1933989" y="1138841"/>
          <a:ext cx="1782250" cy="2636360"/>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pl-PL" sz="1400" kern="1200"/>
            <a:t>CEL SZCZEGÓŁOWY 2. </a:t>
          </a:r>
          <a:br>
            <a:rPr lang="pl-PL" sz="1400" kern="1200"/>
          </a:br>
          <a:r>
            <a:rPr lang="pl-PL" sz="1400" kern="1200"/>
            <a:t>Zwiększanie dostępności pomocy i ochrony dla ofiar przemocy w rodzinie oraz efektywności oddziaływań względem sprawców </a:t>
          </a:r>
        </a:p>
      </dsp:txBody>
      <dsp:txXfrm>
        <a:off x="1933989" y="1138841"/>
        <a:ext cx="1782250" cy="2636360"/>
      </dsp:txXfrm>
    </dsp:sp>
    <dsp:sp modelId="{381385EC-8330-4E35-AECC-D9943A2EC1DA}">
      <dsp:nvSpPr>
        <dsp:cNvPr id="0" name=""/>
        <dsp:cNvSpPr/>
      </dsp:nvSpPr>
      <dsp:spPr>
        <a:xfrm>
          <a:off x="3865949" y="1138841"/>
          <a:ext cx="1782250" cy="2636360"/>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pl-PL" sz="1400" kern="1200"/>
            <a:t>CEL SZCZEGÓŁOWY 3. </a:t>
          </a:r>
          <a:br>
            <a:rPr lang="pl-PL" sz="1400" kern="1200"/>
          </a:br>
          <a:r>
            <a:rPr lang="pl-PL" sz="1400" kern="1200"/>
            <a:t>Wzmocnienie potencjału oraz współpracy osób, instytucji i organizacji zaangażowanych w przeciwdziałanie przemocy w rodzinie </a:t>
          </a:r>
        </a:p>
      </dsp:txBody>
      <dsp:txXfrm>
        <a:off x="3865949" y="1138841"/>
        <a:ext cx="1782250" cy="263636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3A193-867E-47FD-9926-3A27AE130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21</Pages>
  <Words>7183</Words>
  <Characters>43102</Characters>
  <Application>Microsoft Office Word</Application>
  <DocSecurity>0</DocSecurity>
  <Lines>359</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50185</CharactersWithSpaces>
  <SharedDoc>false</SharedDoc>
  <HLinks>
    <vt:vector size="72" baseType="variant">
      <vt:variant>
        <vt:i4>1769527</vt:i4>
      </vt:variant>
      <vt:variant>
        <vt:i4>68</vt:i4>
      </vt:variant>
      <vt:variant>
        <vt:i4>0</vt:i4>
      </vt:variant>
      <vt:variant>
        <vt:i4>5</vt:i4>
      </vt:variant>
      <vt:variant>
        <vt:lpwstr/>
      </vt:variant>
      <vt:variant>
        <vt:lpwstr>_Toc470604399</vt:lpwstr>
      </vt:variant>
      <vt:variant>
        <vt:i4>1769527</vt:i4>
      </vt:variant>
      <vt:variant>
        <vt:i4>62</vt:i4>
      </vt:variant>
      <vt:variant>
        <vt:i4>0</vt:i4>
      </vt:variant>
      <vt:variant>
        <vt:i4>5</vt:i4>
      </vt:variant>
      <vt:variant>
        <vt:lpwstr/>
      </vt:variant>
      <vt:variant>
        <vt:lpwstr>_Toc470604398</vt:lpwstr>
      </vt:variant>
      <vt:variant>
        <vt:i4>1769527</vt:i4>
      </vt:variant>
      <vt:variant>
        <vt:i4>56</vt:i4>
      </vt:variant>
      <vt:variant>
        <vt:i4>0</vt:i4>
      </vt:variant>
      <vt:variant>
        <vt:i4>5</vt:i4>
      </vt:variant>
      <vt:variant>
        <vt:lpwstr/>
      </vt:variant>
      <vt:variant>
        <vt:lpwstr>_Toc470604397</vt:lpwstr>
      </vt:variant>
      <vt:variant>
        <vt:i4>1769527</vt:i4>
      </vt:variant>
      <vt:variant>
        <vt:i4>50</vt:i4>
      </vt:variant>
      <vt:variant>
        <vt:i4>0</vt:i4>
      </vt:variant>
      <vt:variant>
        <vt:i4>5</vt:i4>
      </vt:variant>
      <vt:variant>
        <vt:lpwstr/>
      </vt:variant>
      <vt:variant>
        <vt:lpwstr>_Toc470604396</vt:lpwstr>
      </vt:variant>
      <vt:variant>
        <vt:i4>1769527</vt:i4>
      </vt:variant>
      <vt:variant>
        <vt:i4>44</vt:i4>
      </vt:variant>
      <vt:variant>
        <vt:i4>0</vt:i4>
      </vt:variant>
      <vt:variant>
        <vt:i4>5</vt:i4>
      </vt:variant>
      <vt:variant>
        <vt:lpwstr/>
      </vt:variant>
      <vt:variant>
        <vt:lpwstr>_Toc470604395</vt:lpwstr>
      </vt:variant>
      <vt:variant>
        <vt:i4>1769527</vt:i4>
      </vt:variant>
      <vt:variant>
        <vt:i4>38</vt:i4>
      </vt:variant>
      <vt:variant>
        <vt:i4>0</vt:i4>
      </vt:variant>
      <vt:variant>
        <vt:i4>5</vt:i4>
      </vt:variant>
      <vt:variant>
        <vt:lpwstr/>
      </vt:variant>
      <vt:variant>
        <vt:lpwstr>_Toc470604394</vt:lpwstr>
      </vt:variant>
      <vt:variant>
        <vt:i4>1769527</vt:i4>
      </vt:variant>
      <vt:variant>
        <vt:i4>32</vt:i4>
      </vt:variant>
      <vt:variant>
        <vt:i4>0</vt:i4>
      </vt:variant>
      <vt:variant>
        <vt:i4>5</vt:i4>
      </vt:variant>
      <vt:variant>
        <vt:lpwstr/>
      </vt:variant>
      <vt:variant>
        <vt:lpwstr>_Toc470604393</vt:lpwstr>
      </vt:variant>
      <vt:variant>
        <vt:i4>1769527</vt:i4>
      </vt:variant>
      <vt:variant>
        <vt:i4>26</vt:i4>
      </vt:variant>
      <vt:variant>
        <vt:i4>0</vt:i4>
      </vt:variant>
      <vt:variant>
        <vt:i4>5</vt:i4>
      </vt:variant>
      <vt:variant>
        <vt:lpwstr/>
      </vt:variant>
      <vt:variant>
        <vt:lpwstr>_Toc470604392</vt:lpwstr>
      </vt:variant>
      <vt:variant>
        <vt:i4>1769527</vt:i4>
      </vt:variant>
      <vt:variant>
        <vt:i4>20</vt:i4>
      </vt:variant>
      <vt:variant>
        <vt:i4>0</vt:i4>
      </vt:variant>
      <vt:variant>
        <vt:i4>5</vt:i4>
      </vt:variant>
      <vt:variant>
        <vt:lpwstr/>
      </vt:variant>
      <vt:variant>
        <vt:lpwstr>_Toc470604391</vt:lpwstr>
      </vt:variant>
      <vt:variant>
        <vt:i4>1769527</vt:i4>
      </vt:variant>
      <vt:variant>
        <vt:i4>14</vt:i4>
      </vt:variant>
      <vt:variant>
        <vt:i4>0</vt:i4>
      </vt:variant>
      <vt:variant>
        <vt:i4>5</vt:i4>
      </vt:variant>
      <vt:variant>
        <vt:lpwstr/>
      </vt:variant>
      <vt:variant>
        <vt:lpwstr>_Toc470604390</vt:lpwstr>
      </vt:variant>
      <vt:variant>
        <vt:i4>1703991</vt:i4>
      </vt:variant>
      <vt:variant>
        <vt:i4>8</vt:i4>
      </vt:variant>
      <vt:variant>
        <vt:i4>0</vt:i4>
      </vt:variant>
      <vt:variant>
        <vt:i4>5</vt:i4>
      </vt:variant>
      <vt:variant>
        <vt:lpwstr/>
      </vt:variant>
      <vt:variant>
        <vt:lpwstr>_Toc470604389</vt:lpwstr>
      </vt:variant>
      <vt:variant>
        <vt:i4>1703991</vt:i4>
      </vt:variant>
      <vt:variant>
        <vt:i4>2</vt:i4>
      </vt:variant>
      <vt:variant>
        <vt:i4>0</vt:i4>
      </vt:variant>
      <vt:variant>
        <vt:i4>5</vt:i4>
      </vt:variant>
      <vt:variant>
        <vt:lpwstr/>
      </vt:variant>
      <vt:variant>
        <vt:lpwstr>_Toc470604388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 IS. Stolarska</dc:creator>
  <cp:lastModifiedBy>anna.drozdowska</cp:lastModifiedBy>
  <cp:revision>33</cp:revision>
  <cp:lastPrinted>2022-02-01T14:43:00Z</cp:lastPrinted>
  <dcterms:created xsi:type="dcterms:W3CDTF">2022-02-01T06:52:00Z</dcterms:created>
  <dcterms:modified xsi:type="dcterms:W3CDTF">2022-02-11T07:30:00Z</dcterms:modified>
</cp:coreProperties>
</file>