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6B" w:rsidRDefault="0063626B" w:rsidP="0063626B">
      <w:pPr>
        <w:jc w:val="both"/>
        <w:rPr>
          <w:b/>
        </w:rPr>
      </w:pPr>
    </w:p>
    <w:p w:rsidR="0063626B" w:rsidRDefault="0063626B" w:rsidP="0063626B">
      <w:pPr>
        <w:jc w:val="center"/>
        <w:rPr>
          <w:b/>
        </w:rPr>
      </w:pPr>
      <w:r>
        <w:rPr>
          <w:b/>
        </w:rPr>
        <w:t>Ogłoszenie</w:t>
      </w:r>
    </w:p>
    <w:p w:rsidR="0063626B" w:rsidRDefault="0063626B" w:rsidP="0063626B">
      <w:pPr>
        <w:jc w:val="center"/>
        <w:rPr>
          <w:b/>
        </w:rPr>
      </w:pPr>
    </w:p>
    <w:p w:rsidR="0063626B" w:rsidRDefault="0063626B" w:rsidP="0063626B">
      <w:pPr>
        <w:jc w:val="both"/>
      </w:pPr>
      <w:smartTag w:uri="urn:schemas-microsoft-com:office:smarttags" w:element="PersonName">
        <w:smartTagPr>
          <w:attr w:name="ProductID" w:val="Zarząd Powiatu"/>
        </w:smartTagPr>
        <w:r w:rsidRPr="00197EFE">
          <w:t>Zarząd Powiatu</w:t>
        </w:r>
      </w:smartTag>
      <w:r w:rsidRPr="00197EFE">
        <w:t xml:space="preserve"> Lidzbarskiego</w:t>
      </w:r>
      <w:r>
        <w:t xml:space="preserve"> </w:t>
      </w:r>
      <w:r w:rsidRPr="00197EFE">
        <w:t>działając na podstawie art. 13 ust. 1, art. 15 ust. 2a ust</w:t>
      </w:r>
      <w:r>
        <w:t xml:space="preserve">awy z dnia 24 kwietnia 2003 r. </w:t>
      </w:r>
      <w:r w:rsidRPr="00197EFE">
        <w:t>o działalności pożytku publicznego i o wolontariacie w zw. z art. 11 ust. 1a</w:t>
      </w:r>
      <w:r>
        <w:t xml:space="preserve"> i 2 ustawy </w:t>
      </w:r>
      <w:r w:rsidRPr="00197EFE">
        <w:t>z dnia 5 sierpnia 2015 r. o nieodpłatnej pomocy prawnej, nieodpłatnym poradnictwie obywatelskim oraz edukacji prawnej</w:t>
      </w:r>
    </w:p>
    <w:p w:rsidR="0063626B" w:rsidRDefault="0063626B" w:rsidP="0063626B"/>
    <w:p w:rsidR="0063626B" w:rsidRPr="00197EFE" w:rsidRDefault="0063626B" w:rsidP="0063626B">
      <w:pPr>
        <w:jc w:val="center"/>
      </w:pPr>
      <w:r w:rsidRPr="00197EFE">
        <w:t>ogłasza otwarty konkurs ofert</w:t>
      </w:r>
    </w:p>
    <w:p w:rsidR="0063626B" w:rsidRPr="00197EFE" w:rsidRDefault="0063626B" w:rsidP="0063626B">
      <w:pPr>
        <w:jc w:val="center"/>
      </w:pPr>
    </w:p>
    <w:p w:rsidR="0063626B" w:rsidRPr="00197EFE" w:rsidRDefault="0063626B" w:rsidP="0063626B">
      <w:pPr>
        <w:jc w:val="both"/>
      </w:pPr>
      <w:r w:rsidRPr="00197EFE">
        <w:t>na realizację zadania publicznego - prowadzenie w 202</w:t>
      </w:r>
      <w:r>
        <w:t>4</w:t>
      </w:r>
      <w:r w:rsidRPr="00197EFE">
        <w:t xml:space="preserve"> roku jednego punktu udzielania nieodpłatnej pomocy prawnej oraz świadczenia nieodpłatnego poradnictwa obywatelskiego w Ornecie przez organizację pozarządową prowadzącą działalność pożytku publicznego</w:t>
      </w:r>
    </w:p>
    <w:p w:rsidR="0063626B" w:rsidRDefault="0063626B" w:rsidP="0063626B">
      <w:pPr>
        <w:jc w:val="both"/>
      </w:pPr>
    </w:p>
    <w:p w:rsidR="0063626B" w:rsidRPr="00C06CFB" w:rsidRDefault="0063626B" w:rsidP="0063626B">
      <w:pPr>
        <w:jc w:val="both"/>
      </w:pPr>
      <w:r w:rsidRPr="00C06CFB">
        <w:t>1. Warunki udziału w konkursie:</w:t>
      </w:r>
    </w:p>
    <w:p w:rsidR="0063626B" w:rsidRDefault="0063626B" w:rsidP="0063626B">
      <w:pPr>
        <w:jc w:val="both"/>
      </w:pPr>
    </w:p>
    <w:p w:rsidR="0063626B" w:rsidRPr="002F665D" w:rsidRDefault="0063626B" w:rsidP="0063626B">
      <w:pPr>
        <w:jc w:val="both"/>
        <w:rPr>
          <w:color w:val="000000"/>
        </w:rPr>
      </w:pPr>
      <w:r>
        <w:t xml:space="preserve">O powierzenie prowadzenia punktu udzielania nieodpłatnej pomocy prawnej oraz świadczenia nieodpłatnego poradnictwa obywatelskiego może ubiegać się organizacja pozarządowa prowadząca działalność pożytku publicznego w zakresie, o którym mowa w art. 4 ust. 1 </w:t>
      </w:r>
      <w:proofErr w:type="spellStart"/>
      <w:r>
        <w:t>pkt</w:t>
      </w:r>
      <w:proofErr w:type="spellEnd"/>
      <w:r>
        <w:t xml:space="preserve"> 1b lub 22a ustawy z dnia 24 kwietnia 2003 r. o działalności pożytku publicznego i o wolontariacie (Dz. U. z 2023 r. poz. 571), która jest wpisana na listę organizacji pozarządowych prowadzoną przez Wojewodę Warmińsko-Mazurskiego w zakresie udzielania nieodpłatnej pomocy prawnej oraz nieodpłatnego poradnictwa obywatelskiego na obszarze Województwa Warmińsko-Mazurskiego.</w:t>
      </w:r>
    </w:p>
    <w:p w:rsidR="0063626B" w:rsidRDefault="0063626B" w:rsidP="0063626B">
      <w:pPr>
        <w:jc w:val="both"/>
      </w:pPr>
    </w:p>
    <w:p w:rsidR="0063626B" w:rsidRPr="00DB1C3E" w:rsidRDefault="0063626B" w:rsidP="0063626B">
      <w:pPr>
        <w:jc w:val="both"/>
      </w:pPr>
      <w:r w:rsidRPr="00DB1C3E">
        <w:t>Uwaga: W przypadku gdy żadna ze złożonych ofert nie spełni warunków w części dotyczącej świadczenia nieodpłatnego poradnictwa obywatelskiego, organizacji pozarządowej powierzone będzie prowadzenie punktu udzielania nieodpłatnej pomocy prawnej.</w:t>
      </w:r>
    </w:p>
    <w:p w:rsidR="0063626B" w:rsidRDefault="0063626B" w:rsidP="0063626B">
      <w:pPr>
        <w:jc w:val="both"/>
      </w:pPr>
    </w:p>
    <w:p w:rsidR="0063626B" w:rsidRDefault="0063626B" w:rsidP="0063626B">
      <w:pPr>
        <w:jc w:val="both"/>
      </w:pPr>
      <w:r>
        <w:t>2. Termin i warunki realizacji zadania:</w:t>
      </w:r>
    </w:p>
    <w:p w:rsidR="0063626B" w:rsidRDefault="0063626B" w:rsidP="0063626B">
      <w:pPr>
        <w:jc w:val="both"/>
      </w:pPr>
    </w:p>
    <w:p w:rsidR="0063626B" w:rsidRDefault="0063626B" w:rsidP="0063626B">
      <w:pPr>
        <w:jc w:val="both"/>
      </w:pPr>
      <w:r>
        <w:t xml:space="preserve">Zadanie ma być realizowane od 1 stycznia 2024 r. do 31 grudnia 2024 r. w przeciętnym wymiarze 5 dni w tygodniu przez co najmniej 4 godziny dziennie, według ustalonego harmonogramu. W przypadku, gdy liczba osób uprawnionych, którym ma zostać udzielona nieodpłatna pomoc prawna lub świadczone nieodpłatne poradnictwo obywatelskie, uniemożliwi sprawne umawianie terminów wizyt w punkcie, czas trwania dyżuru może ulec wydłużeniu do co najmniej 5 godzin dziennie bez zwiększenia środków na realizację zadania. Starosta Lidzbarski wyznaczył na punkt udzielania nieodpłatnej pomocy prawnej </w:t>
      </w:r>
      <w:r>
        <w:rPr>
          <w:color w:val="000000"/>
        </w:rPr>
        <w:t>oraz świadczenia nieodpłatnego poradnictwa obywatelskiego</w:t>
      </w:r>
      <w:r>
        <w:t xml:space="preserve"> w Ornecie lokal w budynku Filii Starostwa Powiatowego w Ornecie, ul. Dworcowa 4.</w:t>
      </w:r>
    </w:p>
    <w:p w:rsidR="0063626B" w:rsidRDefault="0063626B" w:rsidP="0063626B">
      <w:pPr>
        <w:jc w:val="both"/>
      </w:pPr>
    </w:p>
    <w:p w:rsidR="0063626B" w:rsidRDefault="0063626B" w:rsidP="0063626B">
      <w:pPr>
        <w:jc w:val="both"/>
      </w:pPr>
      <w:r>
        <w:t xml:space="preserve">Osobom ze znaczną niepełnosprawnością pomoc może być udzielona poza punktem albo za pośrednictwem środków porozumiewania się na odległość. Udzielanie pomocy osobom ze znaczną niepełnosprawnością nie spowoduje zwiększenia środków przeznaczonych na realizację zadania. </w:t>
      </w:r>
    </w:p>
    <w:p w:rsidR="0063626B" w:rsidRDefault="0063626B" w:rsidP="0063626B">
      <w:pPr>
        <w:jc w:val="both"/>
      </w:pPr>
    </w:p>
    <w:p w:rsidR="0063626B" w:rsidRDefault="0063626B" w:rsidP="0063626B">
      <w:pPr>
        <w:jc w:val="both"/>
      </w:pPr>
      <w:r>
        <w:t>W ramach umowy, organizacji pozarządowej zostanie powierzone zadanie z zakresu edukacji prawnej w wymiarze co najmniej jednego zadania na rok.</w:t>
      </w:r>
    </w:p>
    <w:p w:rsidR="0063626B" w:rsidRDefault="0063626B" w:rsidP="0063626B">
      <w:pPr>
        <w:jc w:val="both"/>
      </w:pPr>
    </w:p>
    <w:p w:rsidR="006B3BC2" w:rsidRDefault="006B3BC2" w:rsidP="0063626B">
      <w:pPr>
        <w:jc w:val="both"/>
      </w:pPr>
    </w:p>
    <w:p w:rsidR="0063626B" w:rsidRDefault="0063626B" w:rsidP="0063626B">
      <w:pPr>
        <w:jc w:val="both"/>
      </w:pPr>
      <w:r>
        <w:lastRenderedPageBreak/>
        <w:t>3. Zasady przyznania dotacji:</w:t>
      </w:r>
    </w:p>
    <w:p w:rsidR="0063626B" w:rsidRDefault="0063626B" w:rsidP="0063626B">
      <w:pPr>
        <w:jc w:val="both"/>
      </w:pPr>
    </w:p>
    <w:p w:rsidR="0063626B" w:rsidRDefault="0063626B" w:rsidP="0063626B">
      <w:pPr>
        <w:numPr>
          <w:ilvl w:val="0"/>
          <w:numId w:val="1"/>
        </w:numPr>
        <w:jc w:val="both"/>
      </w:pPr>
      <w:r>
        <w:t>Dotacja będzie przyznana na podstawie umowy zawartej pomiędzy Powiatem Lidzbarskim a wykonawcą wyłonionym przez komisję konkursową.</w:t>
      </w:r>
    </w:p>
    <w:p w:rsidR="0063626B" w:rsidRDefault="0063626B" w:rsidP="0063626B">
      <w:pPr>
        <w:numPr>
          <w:ilvl w:val="0"/>
          <w:numId w:val="1"/>
        </w:numPr>
        <w:jc w:val="both"/>
      </w:pPr>
      <w:r>
        <w:t xml:space="preserve">Dotacja na finansowanie realizacji zadania w 2024 roku  wynosi  68.245,00 zł, z czego: 64.024,00 zł na prowadzenie punktu nieodpłatnej pomocy prawnej, 4.221,00 zł na edukację prawną. </w:t>
      </w:r>
    </w:p>
    <w:p w:rsidR="0063626B" w:rsidRPr="006E4FB5" w:rsidRDefault="0063626B" w:rsidP="0063626B">
      <w:pPr>
        <w:jc w:val="both"/>
      </w:pPr>
    </w:p>
    <w:p w:rsidR="0063626B" w:rsidRDefault="0063626B" w:rsidP="0063626B">
      <w:pPr>
        <w:jc w:val="both"/>
      </w:pPr>
      <w:r>
        <w:t>4. Składanie ofert:</w:t>
      </w:r>
    </w:p>
    <w:p w:rsidR="0063626B" w:rsidRDefault="0063626B" w:rsidP="0063626B">
      <w:pPr>
        <w:jc w:val="both"/>
      </w:pPr>
    </w:p>
    <w:p w:rsidR="0063626B" w:rsidRPr="001064D0" w:rsidRDefault="0063626B" w:rsidP="0063626B">
      <w:pPr>
        <w:numPr>
          <w:ilvl w:val="0"/>
          <w:numId w:val="2"/>
        </w:numPr>
        <w:tabs>
          <w:tab w:val="clear" w:pos="720"/>
          <w:tab w:val="num" w:pos="180"/>
        </w:tabs>
        <w:ind w:left="284" w:hanging="284"/>
        <w:jc w:val="both"/>
      </w:pPr>
      <w:r w:rsidRPr="00266F9D">
        <w:t>Oferty</w:t>
      </w:r>
      <w:r>
        <w:t xml:space="preserve"> na realizację zadania publicznego</w:t>
      </w:r>
      <w:r w:rsidRPr="00266F9D">
        <w:t xml:space="preserve"> należy składać w sekretariacie Starostwa Powiatowego w Lidzbarku Warmińskim, ul. Wyszyńskiego 37, osobiście lub drogą pocztową (decyduje data wpływu) w terminie do </w:t>
      </w:r>
      <w:r>
        <w:t xml:space="preserve"> 3 listopada 2023</w:t>
      </w:r>
      <w:r w:rsidRPr="001064D0">
        <w:t xml:space="preserve"> r., do godz. 15.00, w zamkniętych kopertach, z dopiskiem „Oferta na prowadzenie punktu </w:t>
      </w:r>
      <w:r>
        <w:t xml:space="preserve">udzielania </w:t>
      </w:r>
      <w:r w:rsidRPr="001064D0">
        <w:t>nieodpłatnej pomocy prawnej</w:t>
      </w:r>
      <w:r>
        <w:t xml:space="preserve"> oraz świadczenia nieodpłatnego poradnictwa obywatelskiego</w:t>
      </w:r>
      <w:r w:rsidRPr="001064D0">
        <w:t>”.</w:t>
      </w:r>
    </w:p>
    <w:p w:rsidR="0063626B" w:rsidRDefault="0063626B" w:rsidP="0063626B">
      <w:pPr>
        <w:numPr>
          <w:ilvl w:val="0"/>
          <w:numId w:val="2"/>
        </w:numPr>
        <w:tabs>
          <w:tab w:val="clear" w:pos="720"/>
          <w:tab w:val="num" w:pos="180"/>
        </w:tabs>
        <w:ind w:left="284" w:hanging="284"/>
        <w:jc w:val="both"/>
        <w:rPr>
          <w:b/>
        </w:rPr>
      </w:pPr>
      <w:r>
        <w:t xml:space="preserve">Ofertę należy sporządzić na formularzu zgodnym z załącznikiem nr 1 do Rozporządzenia Przewodniczącego Komitetu do Spraw Pożytku Publicznego z dnia 24 października 2018 r. w sprawie </w:t>
      </w:r>
      <w:r w:rsidRPr="00016DA9">
        <w:t xml:space="preserve">wzorów ofert i ramowych wzorów umów dotyczących realizacji zadań publicznych oraz wzorów sprawozdań z wykonania tych zadań </w:t>
      </w:r>
      <w:r>
        <w:t>(</w:t>
      </w:r>
      <w:proofErr w:type="spellStart"/>
      <w:r>
        <w:t>Dz.U</w:t>
      </w:r>
      <w:proofErr w:type="spellEnd"/>
      <w:r>
        <w:t xml:space="preserve">. poz. 2057). </w:t>
      </w:r>
      <w:r>
        <w:rPr>
          <w:b/>
        </w:rPr>
        <w:t xml:space="preserve">  </w:t>
      </w:r>
    </w:p>
    <w:p w:rsidR="0063626B" w:rsidRPr="002519D0" w:rsidRDefault="0063626B" w:rsidP="0063626B">
      <w:pPr>
        <w:numPr>
          <w:ilvl w:val="0"/>
          <w:numId w:val="2"/>
        </w:numPr>
        <w:tabs>
          <w:tab w:val="clear" w:pos="720"/>
          <w:tab w:val="num" w:pos="180"/>
        </w:tabs>
        <w:ind w:left="284" w:hanging="284"/>
        <w:jc w:val="both"/>
        <w:rPr>
          <w:b/>
        </w:rPr>
      </w:pPr>
      <w:r>
        <w:t>Do oferty należy dołączyć:</w:t>
      </w:r>
    </w:p>
    <w:p w:rsidR="0063626B" w:rsidRDefault="0063626B" w:rsidP="0063626B">
      <w:pPr>
        <w:numPr>
          <w:ilvl w:val="3"/>
          <w:numId w:val="1"/>
        </w:numPr>
        <w:tabs>
          <w:tab w:val="clear" w:pos="2520"/>
          <w:tab w:val="num" w:pos="567"/>
        </w:tabs>
        <w:ind w:left="567" w:hanging="283"/>
        <w:jc w:val="both"/>
      </w:pPr>
      <w:r>
        <w:t>zawarte umowy z osobami, które będą wykorzystane do realizacji zadania, w tym z mediatorem, doradcą obywatelskim;</w:t>
      </w:r>
    </w:p>
    <w:p w:rsidR="0063626B" w:rsidRDefault="0063626B" w:rsidP="0063626B">
      <w:pPr>
        <w:numPr>
          <w:ilvl w:val="3"/>
          <w:numId w:val="1"/>
        </w:numPr>
        <w:tabs>
          <w:tab w:val="clear" w:pos="2520"/>
          <w:tab w:val="num" w:pos="567"/>
        </w:tabs>
        <w:ind w:left="567" w:hanging="283"/>
        <w:jc w:val="both"/>
      </w:pPr>
      <w:r>
        <w:t>fakultatywnie porozumienia o wolontariacie zawarte z osobami, które będą wykonywały świadczenia w ramach prowadzonego punktu,</w:t>
      </w:r>
    </w:p>
    <w:p w:rsidR="0063626B" w:rsidRDefault="0063626B" w:rsidP="0063626B">
      <w:pPr>
        <w:jc w:val="both"/>
      </w:pPr>
      <w:r>
        <w:t>4) Oferta przed złożeniem powinna być podpisana przez wszystkie osoby upoważnione do składania oświadczeń woli zgodnie z reprezentacją, o której mowa w odpowiednim rejestrze/ewidencji. Kopie umów i porozumień powinny być potwierdzone za zgodność z oryginałem przez ww. osoby.</w:t>
      </w:r>
    </w:p>
    <w:p w:rsidR="0063626B" w:rsidRDefault="0063626B" w:rsidP="0063626B">
      <w:pPr>
        <w:jc w:val="both"/>
      </w:pPr>
    </w:p>
    <w:p w:rsidR="0063626B" w:rsidRDefault="0063626B" w:rsidP="0063626B">
      <w:pPr>
        <w:jc w:val="both"/>
      </w:pPr>
      <w:r>
        <w:t xml:space="preserve">Druki ofert i sprawozdania z realizacji zadania publicznego można pobrać ze strony internetowej Starostwa Powiatowego w Lidzbarku Warmińskim: </w:t>
      </w:r>
      <w:r w:rsidRPr="000A2A68">
        <w:t>www.powiatlidzbarski.pl</w:t>
      </w:r>
      <w:r>
        <w:t>, zakładka „Organizacje pozarządowe” – „Otwarte konkursy ofert” oraz Biuletynu Informacji Publicznej Starostwa Powiatowego w Lidzbarku Warmińskim.</w:t>
      </w:r>
    </w:p>
    <w:p w:rsidR="0063626B" w:rsidRDefault="0063626B" w:rsidP="0063626B">
      <w:pPr>
        <w:jc w:val="both"/>
      </w:pPr>
    </w:p>
    <w:p w:rsidR="0063626B" w:rsidRPr="00AF7A57" w:rsidRDefault="0063626B" w:rsidP="0063626B">
      <w:pPr>
        <w:jc w:val="both"/>
      </w:pPr>
      <w:r w:rsidRPr="00AF7A57">
        <w:t>5. Rozpatrzenie ofert:</w:t>
      </w:r>
    </w:p>
    <w:p w:rsidR="0063626B" w:rsidRDefault="0063626B" w:rsidP="0063626B">
      <w:pPr>
        <w:ind w:left="360"/>
        <w:jc w:val="both"/>
      </w:pPr>
    </w:p>
    <w:p w:rsidR="0063626B" w:rsidRPr="009F0A07" w:rsidRDefault="0063626B" w:rsidP="0063626B">
      <w:pPr>
        <w:ind w:left="284" w:hanging="284"/>
        <w:jc w:val="both"/>
        <w:rPr>
          <w:u w:val="single"/>
        </w:rPr>
      </w:pPr>
      <w:r>
        <w:t>1) Oferty będą oceniane merytorycznie przez Komisję, powołaną przez Zarząd Powiatu Lidzbarskiego. W</w:t>
      </w:r>
      <w:r w:rsidRPr="009F0A07">
        <w:t>ybór ofert</w:t>
      </w:r>
      <w:r>
        <w:t>y</w:t>
      </w:r>
      <w:r w:rsidRPr="009F0A07">
        <w:t xml:space="preserve"> nastąpi w terminie </w:t>
      </w:r>
      <w:r>
        <w:t>14</w:t>
      </w:r>
      <w:r w:rsidRPr="009F0A07">
        <w:t xml:space="preserve"> dni od </w:t>
      </w:r>
      <w:r>
        <w:t>upływu terminu do składania ofert</w:t>
      </w:r>
      <w:r w:rsidRPr="009F0A07">
        <w:t xml:space="preserve">. </w:t>
      </w:r>
      <w:r w:rsidRPr="009F0A07">
        <w:rPr>
          <w:u w:val="single"/>
        </w:rPr>
        <w:t xml:space="preserve"> </w:t>
      </w:r>
    </w:p>
    <w:p w:rsidR="0063626B" w:rsidRDefault="0063626B" w:rsidP="0063626B">
      <w:pPr>
        <w:ind w:left="284" w:hanging="284"/>
        <w:jc w:val="both"/>
      </w:pPr>
      <w:r>
        <w:t>2) Oferty złożone po terminie nie będą rozpatrywane.</w:t>
      </w:r>
    </w:p>
    <w:p w:rsidR="0063626B" w:rsidRDefault="0063626B" w:rsidP="0063626B">
      <w:pPr>
        <w:ind w:left="284" w:hanging="284"/>
        <w:jc w:val="both"/>
      </w:pPr>
      <w:r>
        <w:t>3) Ustala się kryteria oceny formalnej oferty:</w:t>
      </w:r>
    </w:p>
    <w:p w:rsidR="0063626B" w:rsidRPr="00590926" w:rsidRDefault="0063626B" w:rsidP="0063626B">
      <w:pPr>
        <w:ind w:left="568" w:hanging="284"/>
        <w:jc w:val="both"/>
        <w:outlineLvl w:val="0"/>
      </w:pPr>
      <w:r w:rsidRPr="00590926">
        <w:t xml:space="preserve">a) </w:t>
      </w:r>
      <w:r>
        <w:t>czy</w:t>
      </w:r>
      <w:r w:rsidRPr="00590926">
        <w:t xml:space="preserve"> oferta została złożona na obowiązującym druku,</w:t>
      </w:r>
    </w:p>
    <w:p w:rsidR="0063626B" w:rsidRPr="00590926" w:rsidRDefault="0063626B" w:rsidP="0063626B">
      <w:pPr>
        <w:ind w:left="568" w:hanging="284"/>
        <w:jc w:val="both"/>
        <w:outlineLvl w:val="0"/>
      </w:pPr>
      <w:r>
        <w:t>b</w:t>
      </w:r>
      <w:r w:rsidRPr="00590926">
        <w:t xml:space="preserve">) </w:t>
      </w:r>
      <w:r>
        <w:t>czy</w:t>
      </w:r>
      <w:r w:rsidRPr="00590926">
        <w:t xml:space="preserve"> </w:t>
      </w:r>
      <w:r>
        <w:t xml:space="preserve">do </w:t>
      </w:r>
      <w:r w:rsidRPr="00590926">
        <w:t>ofert</w:t>
      </w:r>
      <w:r>
        <w:t>y</w:t>
      </w:r>
      <w:r w:rsidRPr="00590926">
        <w:t xml:space="preserve"> </w:t>
      </w:r>
      <w:r>
        <w:t>dołączono</w:t>
      </w:r>
      <w:r w:rsidRPr="00590926">
        <w:t xml:space="preserve">  wymagane załączniki,</w:t>
      </w:r>
    </w:p>
    <w:p w:rsidR="0063626B" w:rsidRPr="00590926" w:rsidRDefault="0063626B" w:rsidP="0063626B">
      <w:pPr>
        <w:ind w:left="568" w:hanging="284"/>
        <w:jc w:val="both"/>
        <w:outlineLvl w:val="0"/>
      </w:pPr>
      <w:r>
        <w:t>c</w:t>
      </w:r>
      <w:r w:rsidRPr="00590926">
        <w:t xml:space="preserve">) </w:t>
      </w:r>
      <w:r>
        <w:t>czy</w:t>
      </w:r>
      <w:r w:rsidRPr="00590926">
        <w:t xml:space="preserve"> oferta i </w:t>
      </w:r>
      <w:r>
        <w:t xml:space="preserve">kserokopie dokumentów składanych jako </w:t>
      </w:r>
      <w:r w:rsidRPr="00590926">
        <w:t>załączniki zostały podpisane przez osobę/y uprawnione,</w:t>
      </w:r>
    </w:p>
    <w:p w:rsidR="0063626B" w:rsidRDefault="0063626B" w:rsidP="0063626B">
      <w:pPr>
        <w:ind w:left="568" w:hanging="284"/>
        <w:jc w:val="both"/>
        <w:outlineLvl w:val="0"/>
      </w:pPr>
      <w:r>
        <w:t>d</w:t>
      </w:r>
      <w:r w:rsidRPr="00590926">
        <w:t xml:space="preserve">) </w:t>
      </w:r>
      <w:r>
        <w:t>czy</w:t>
      </w:r>
      <w:r w:rsidRPr="00590926">
        <w:t xml:space="preserve"> </w:t>
      </w:r>
      <w:r>
        <w:t>wnioskodawca jest wpisany na listę Wojewody Warmińsko-Mazurskiego w zakresie nieodpłatnej pomocy prawnej oraz nieodpłatnego poradnictwa obywatelskiego</w:t>
      </w:r>
      <w:r w:rsidRPr="00590926">
        <w:t>,</w:t>
      </w:r>
    </w:p>
    <w:p w:rsidR="0063626B" w:rsidRDefault="0063626B" w:rsidP="0063626B">
      <w:pPr>
        <w:jc w:val="both"/>
        <w:outlineLvl w:val="0"/>
      </w:pPr>
    </w:p>
    <w:p w:rsidR="0063626B" w:rsidRPr="00590926" w:rsidRDefault="0063626B" w:rsidP="0063626B">
      <w:pPr>
        <w:ind w:left="142"/>
        <w:jc w:val="both"/>
        <w:outlineLvl w:val="0"/>
      </w:pPr>
      <w:r>
        <w:lastRenderedPageBreak/>
        <w:t>Aby badana oferta przeszła pozytywnie ocenę formalną w zakresie udzielania nieodpłatnej pomocy prawnej oraz świadczenia poradnictwa obywatelskiego musi spełnić wszystkie kryteria, przy czym dołączenie porozumień o wolontariacie jest fakultatywne.</w:t>
      </w:r>
    </w:p>
    <w:p w:rsidR="0063626B" w:rsidRPr="00590926" w:rsidRDefault="0063626B" w:rsidP="0063626B">
      <w:pPr>
        <w:ind w:left="284" w:hanging="284"/>
        <w:jc w:val="both"/>
        <w:outlineLvl w:val="0"/>
      </w:pPr>
      <w:r>
        <w:t>4</w:t>
      </w:r>
      <w:r w:rsidRPr="00590926">
        <w:t xml:space="preserve">) Oferty niepodlegające odrzuceniu Komisja ocenia merytorycznie i sporządza zestawienie </w:t>
      </w:r>
      <w:r>
        <w:t xml:space="preserve">pozytywnie </w:t>
      </w:r>
      <w:r w:rsidRPr="00590926">
        <w:t>ocenionych ofert w kolejności zależnej od ilości uzyskanych punktów, wskazując ofertę najkorzystniejszą, która otrzymała  najwyższą liczbę punkt</w:t>
      </w:r>
      <w:r>
        <w:t>ó</w:t>
      </w:r>
      <w:r w:rsidRPr="00590926">
        <w:t xml:space="preserve">w. Zestawienie wraz z przyznaną liczbą punktów przekazuje </w:t>
      </w:r>
      <w:r>
        <w:t>Zarządowi Powiatu Lidzbarskiego</w:t>
      </w:r>
      <w:r w:rsidRPr="00590926">
        <w:t>.</w:t>
      </w:r>
    </w:p>
    <w:p w:rsidR="0063626B" w:rsidRPr="00CF7242" w:rsidRDefault="0063626B" w:rsidP="0063626B">
      <w:pPr>
        <w:ind w:left="284" w:hanging="284"/>
        <w:jc w:val="both"/>
      </w:pPr>
      <w:r>
        <w:t xml:space="preserve">5) Ustala się </w:t>
      </w:r>
      <w:r w:rsidRPr="00CF7242">
        <w:t>kryteria oceny merytorycznej oferty</w:t>
      </w:r>
      <w:r>
        <w:t xml:space="preserve"> i maksymalną liczbę punktów</w:t>
      </w:r>
      <w:r w:rsidRPr="00CF7242">
        <w:t>:</w:t>
      </w:r>
    </w:p>
    <w:p w:rsidR="0063626B" w:rsidRDefault="0063626B" w:rsidP="0063626B">
      <w:pPr>
        <w:pStyle w:val="ListParagraph"/>
        <w:numPr>
          <w:ilvl w:val="0"/>
          <w:numId w:val="4"/>
        </w:numPr>
        <w:ind w:left="540" w:hanging="284"/>
        <w:jc w:val="both"/>
      </w:pPr>
      <w:r>
        <w:t>przygotowanie zawodowe (kwalifikacje) oraz doświadczenie osób przewidzianych do realizacji zadania - 20,</w:t>
      </w:r>
    </w:p>
    <w:p w:rsidR="0063626B" w:rsidRDefault="0063626B" w:rsidP="0063626B">
      <w:pPr>
        <w:pStyle w:val="ListParagraph"/>
        <w:numPr>
          <w:ilvl w:val="0"/>
          <w:numId w:val="4"/>
        </w:numPr>
        <w:ind w:left="540" w:hanging="284"/>
        <w:jc w:val="both"/>
      </w:pPr>
      <w:r>
        <w:t>liczba osób współpracujących, wolontariuszy - 5,</w:t>
      </w:r>
    </w:p>
    <w:p w:rsidR="0063626B" w:rsidRDefault="0063626B" w:rsidP="0063626B">
      <w:pPr>
        <w:pStyle w:val="ListParagraph"/>
        <w:numPr>
          <w:ilvl w:val="0"/>
          <w:numId w:val="4"/>
        </w:numPr>
        <w:ind w:left="540" w:hanging="284"/>
        <w:jc w:val="both"/>
      </w:pPr>
      <w:r>
        <w:t>adekwatność, przejrzystość kalkulacji kosztów zadania – 15.</w:t>
      </w:r>
    </w:p>
    <w:p w:rsidR="0063626B" w:rsidRDefault="0063626B" w:rsidP="0063626B">
      <w:pPr>
        <w:pStyle w:val="ListParagraph"/>
        <w:ind w:left="0"/>
        <w:jc w:val="both"/>
      </w:pPr>
      <w:r>
        <w:t>6) Komisja pozytywnie oceni ofertę, która w żadnym z kryteriów nie otrzyma oceny 0.</w:t>
      </w:r>
    </w:p>
    <w:p w:rsidR="0063626B" w:rsidRDefault="0063626B" w:rsidP="0063626B">
      <w:pPr>
        <w:ind w:left="284" w:hanging="284"/>
        <w:jc w:val="both"/>
      </w:pPr>
      <w:r>
        <w:t xml:space="preserve">7) Zarząd Powiatu Lidzbarskiego, na podstawie opinii Komisji Konkursowej dokona wyboru oferty podmiotu, któremu zostanie powierzone zadanie. </w:t>
      </w:r>
    </w:p>
    <w:p w:rsidR="0063626B" w:rsidRDefault="0063626B" w:rsidP="0063626B">
      <w:pPr>
        <w:jc w:val="both"/>
      </w:pPr>
    </w:p>
    <w:p w:rsidR="0063626B" w:rsidRDefault="0063626B" w:rsidP="0063626B">
      <w:pPr>
        <w:jc w:val="both"/>
      </w:pPr>
      <w:r>
        <w:t xml:space="preserve">6. </w:t>
      </w:r>
      <w:r w:rsidRPr="006E4FB5">
        <w:t xml:space="preserve">Środki przeznaczone na finansowanie zadania </w:t>
      </w:r>
      <w:r>
        <w:t>w roku 2023  - 60.060 zł.</w:t>
      </w:r>
    </w:p>
    <w:p w:rsidR="0063626B" w:rsidRDefault="0063626B" w:rsidP="0063626B">
      <w:pPr>
        <w:ind w:left="360"/>
        <w:jc w:val="both"/>
        <w:rPr>
          <w:u w:val="single"/>
        </w:rPr>
      </w:pPr>
    </w:p>
    <w:p w:rsidR="0063626B" w:rsidRPr="00080600" w:rsidRDefault="0063626B" w:rsidP="0063626B">
      <w:pPr>
        <w:jc w:val="both"/>
      </w:pPr>
      <w:r>
        <w:t>7</w:t>
      </w:r>
      <w:r w:rsidRPr="00080600">
        <w:t>. Postanowienia końcowe:</w:t>
      </w:r>
    </w:p>
    <w:p w:rsidR="0063626B" w:rsidRPr="00697107" w:rsidRDefault="0063626B" w:rsidP="0063626B">
      <w:pPr>
        <w:jc w:val="both"/>
      </w:pPr>
    </w:p>
    <w:p w:rsidR="0063626B" w:rsidRDefault="0063626B" w:rsidP="0063626B">
      <w:pPr>
        <w:tabs>
          <w:tab w:val="left" w:pos="180"/>
        </w:tabs>
        <w:jc w:val="both"/>
      </w:pPr>
      <w:r>
        <w:t>1) Dotowany podmiot jest zobowiązany do:</w:t>
      </w:r>
    </w:p>
    <w:p w:rsidR="0063626B" w:rsidRDefault="0063626B" w:rsidP="0063626B">
      <w:pPr>
        <w:numPr>
          <w:ilvl w:val="0"/>
          <w:numId w:val="3"/>
        </w:numPr>
        <w:tabs>
          <w:tab w:val="left" w:pos="180"/>
        </w:tabs>
        <w:ind w:left="284" w:firstLine="0"/>
        <w:jc w:val="both"/>
      </w:pPr>
      <w:r>
        <w:t>wyodrębnienia w ewidencji księgowej środków otrzymanych na realizację umowy,</w:t>
      </w:r>
    </w:p>
    <w:p w:rsidR="0063626B" w:rsidRDefault="0063626B" w:rsidP="0063626B">
      <w:pPr>
        <w:numPr>
          <w:ilvl w:val="0"/>
          <w:numId w:val="3"/>
        </w:numPr>
        <w:tabs>
          <w:tab w:val="left" w:pos="180"/>
        </w:tabs>
        <w:ind w:left="540" w:hanging="256"/>
        <w:jc w:val="both"/>
      </w:pPr>
      <w:r>
        <w:t>dostarczenia na wezwanie Starosty Lidzbarskiego, oryginałów dokumentów (faktur, rachunków) oraz innych dokumentów, celem kontroli prawidłowości wydatkowania dotacji, która nie ogranicza prawa Starosty do kontroli całości realizowanego zadania pod względem finansowym i merytorycznym,</w:t>
      </w:r>
    </w:p>
    <w:p w:rsidR="0063626B" w:rsidRDefault="0063626B" w:rsidP="0063626B">
      <w:pPr>
        <w:numPr>
          <w:ilvl w:val="0"/>
          <w:numId w:val="3"/>
        </w:numPr>
        <w:tabs>
          <w:tab w:val="left" w:pos="180"/>
        </w:tabs>
        <w:ind w:left="284" w:firstLine="0"/>
        <w:jc w:val="both"/>
      </w:pPr>
      <w:r>
        <w:t>poddania się kontroli i ocenie realizacji zadania,</w:t>
      </w:r>
    </w:p>
    <w:p w:rsidR="0063626B" w:rsidRDefault="0063626B" w:rsidP="0063626B">
      <w:pPr>
        <w:numPr>
          <w:ilvl w:val="0"/>
          <w:numId w:val="3"/>
        </w:numPr>
        <w:tabs>
          <w:tab w:val="left" w:pos="180"/>
        </w:tabs>
        <w:ind w:left="284" w:firstLine="0"/>
        <w:jc w:val="both"/>
      </w:pPr>
      <w:r>
        <w:t>składania odpowiednich sprawozdań z realizacji zadania.</w:t>
      </w:r>
    </w:p>
    <w:p w:rsidR="0063626B" w:rsidRDefault="0063626B" w:rsidP="0063626B">
      <w:pPr>
        <w:tabs>
          <w:tab w:val="left" w:pos="180"/>
        </w:tabs>
        <w:ind w:left="284" w:hanging="284"/>
        <w:jc w:val="both"/>
      </w:pPr>
      <w:r>
        <w:t>2) W rozliczeniu dotacji nie będą uwzględniane dokumenty finansowe wystawione przed datą zawarcia umowy.</w:t>
      </w:r>
    </w:p>
    <w:p w:rsidR="0063626B" w:rsidRDefault="0063626B" w:rsidP="0063626B">
      <w:pPr>
        <w:tabs>
          <w:tab w:val="left" w:pos="180"/>
        </w:tabs>
        <w:ind w:left="284" w:hanging="284"/>
        <w:jc w:val="both"/>
      </w:pPr>
      <w:r>
        <w:t xml:space="preserve">3) Wyniki konkursu przedstawione zostaną na tablicy ogłoszeń Starostwa Powiatowego </w:t>
      </w:r>
      <w:r>
        <w:br/>
        <w:t xml:space="preserve">w Lidzbarku Warmińskim oraz zostaną opublikowane na stronie internetowej Powiatu Lidzbarskiego oraz Biuletynie Informacji Publicznej Starostwa Powiatowego.  </w:t>
      </w:r>
    </w:p>
    <w:p w:rsidR="0063626B" w:rsidRDefault="0063626B" w:rsidP="0063626B">
      <w:pPr>
        <w:jc w:val="both"/>
      </w:pPr>
    </w:p>
    <w:p w:rsidR="0063626B" w:rsidRDefault="0063626B" w:rsidP="0063626B">
      <w:pPr>
        <w:jc w:val="both"/>
      </w:pPr>
    </w:p>
    <w:p w:rsidR="0063626B" w:rsidRDefault="0063626B" w:rsidP="0063626B">
      <w:pPr>
        <w:jc w:val="both"/>
      </w:pPr>
    </w:p>
    <w:p w:rsidR="001A4A5E" w:rsidRDefault="001A4A5E" w:rsidP="001A4A5E">
      <w:pPr>
        <w:jc w:val="right"/>
        <w:rPr>
          <w:i/>
        </w:rPr>
      </w:pPr>
      <w:r>
        <w:rPr>
          <w:i/>
        </w:rPr>
        <w:t>Starosta</w:t>
      </w:r>
    </w:p>
    <w:p w:rsidR="0063626B" w:rsidRDefault="001A4A5E" w:rsidP="001A4A5E">
      <w:pPr>
        <w:jc w:val="right"/>
        <w:rPr>
          <w:i/>
        </w:rPr>
      </w:pPr>
      <w:r>
        <w:rPr>
          <w:i/>
        </w:rPr>
        <w:t xml:space="preserve"> /-/ Jan </w:t>
      </w:r>
      <w:proofErr w:type="spellStart"/>
      <w:r>
        <w:rPr>
          <w:i/>
        </w:rPr>
        <w:t>Harhaj</w:t>
      </w:r>
      <w:proofErr w:type="spellEnd"/>
    </w:p>
    <w:p w:rsidR="0063626B" w:rsidRDefault="0063626B" w:rsidP="0063626B"/>
    <w:p w:rsidR="003630A0" w:rsidRDefault="003630A0"/>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p w:rsidR="001A4A5E" w:rsidRDefault="001A4A5E" w:rsidP="001A4A5E">
      <w:pPr>
        <w:jc w:val="right"/>
      </w:pPr>
      <w:r>
        <w:t>Załącznik do ogłoszenia</w:t>
      </w:r>
    </w:p>
    <w:p w:rsidR="001A4A5E" w:rsidRPr="00F00FEA" w:rsidRDefault="001A4A5E" w:rsidP="001A4A5E">
      <w:pPr>
        <w:jc w:val="center"/>
        <w:rPr>
          <w:b/>
        </w:rPr>
      </w:pPr>
      <w:r w:rsidRPr="00F00FEA">
        <w:rPr>
          <w:b/>
        </w:rPr>
        <w:t>Regulamin pracy Komisji konkursowej</w:t>
      </w:r>
    </w:p>
    <w:p w:rsidR="001A4A5E" w:rsidRPr="00F00FEA" w:rsidRDefault="001A4A5E" w:rsidP="001A4A5E">
      <w:pPr>
        <w:rPr>
          <w:b/>
        </w:rPr>
      </w:pPr>
    </w:p>
    <w:p w:rsidR="001A4A5E" w:rsidRPr="00F00FEA" w:rsidRDefault="001A4A5E" w:rsidP="001A4A5E">
      <w:pPr>
        <w:jc w:val="center"/>
        <w:rPr>
          <w:b/>
        </w:rPr>
      </w:pPr>
      <w:r w:rsidRPr="00F00FEA">
        <w:rPr>
          <w:b/>
        </w:rPr>
        <w:t>§ 1.</w:t>
      </w:r>
    </w:p>
    <w:p w:rsidR="001A4A5E" w:rsidRDefault="001A4A5E" w:rsidP="001A4A5E">
      <w:pPr>
        <w:pStyle w:val="Akapitzlist"/>
        <w:numPr>
          <w:ilvl w:val="0"/>
          <w:numId w:val="5"/>
        </w:numPr>
        <w:jc w:val="both"/>
      </w:pPr>
      <w:r>
        <w:t>Komisja konkursowa zwana dalej „Komisją” obraduje na posiedzeniach zamkniętych, bez udziału oferentów.</w:t>
      </w:r>
    </w:p>
    <w:p w:rsidR="001A4A5E" w:rsidRDefault="001A4A5E" w:rsidP="001A4A5E">
      <w:pPr>
        <w:pStyle w:val="Akapitzlist"/>
        <w:numPr>
          <w:ilvl w:val="0"/>
          <w:numId w:val="5"/>
        </w:numPr>
        <w:jc w:val="both"/>
      </w:pPr>
      <w:r>
        <w:t>Posiedzenie Komisji zwołuje i prowadzi Przewodniczący Komisji, a w razie jego nieobecności wyznaczona przez niego osoba spośród członków Komisji.</w:t>
      </w:r>
    </w:p>
    <w:p w:rsidR="001A4A5E" w:rsidRDefault="001A4A5E" w:rsidP="001A4A5E">
      <w:pPr>
        <w:pStyle w:val="Akapitzlist"/>
        <w:numPr>
          <w:ilvl w:val="0"/>
          <w:numId w:val="5"/>
        </w:numPr>
        <w:jc w:val="both"/>
      </w:pPr>
      <w:r>
        <w:t>Każdy z członków Komisji zawiadamiany jest o terminie i miejscu posiedzenia z co najmniej jednodniowym wyprzedzeniem.</w:t>
      </w:r>
    </w:p>
    <w:p w:rsidR="001A4A5E" w:rsidRDefault="001A4A5E" w:rsidP="001A4A5E">
      <w:pPr>
        <w:pStyle w:val="Akapitzlist"/>
        <w:numPr>
          <w:ilvl w:val="0"/>
          <w:numId w:val="5"/>
        </w:numPr>
        <w:jc w:val="both"/>
      </w:pPr>
      <w:r>
        <w:t>Komisja podejmuje decyzje zwykłą większością głosów w obecności co najmniej połowy jej składu w głosowaniu jawnym.</w:t>
      </w:r>
    </w:p>
    <w:p w:rsidR="001A4A5E" w:rsidRDefault="001A4A5E" w:rsidP="001A4A5E"/>
    <w:p w:rsidR="001A4A5E" w:rsidRPr="00F00FEA" w:rsidRDefault="001A4A5E" w:rsidP="001A4A5E">
      <w:pPr>
        <w:jc w:val="center"/>
        <w:rPr>
          <w:b/>
        </w:rPr>
      </w:pPr>
      <w:r w:rsidRPr="00F00FEA">
        <w:rPr>
          <w:b/>
        </w:rPr>
        <w:t>§ 2.</w:t>
      </w:r>
    </w:p>
    <w:p w:rsidR="001A4A5E" w:rsidRDefault="001A4A5E" w:rsidP="001A4A5E"/>
    <w:p w:rsidR="001A4A5E" w:rsidRDefault="001A4A5E" w:rsidP="001A4A5E">
      <w:r>
        <w:t>Do zadań Komisji należy:</w:t>
      </w:r>
    </w:p>
    <w:p w:rsidR="001A4A5E" w:rsidRDefault="001A4A5E" w:rsidP="001A4A5E">
      <w:pPr>
        <w:pStyle w:val="Akapitzlist"/>
        <w:numPr>
          <w:ilvl w:val="0"/>
          <w:numId w:val="6"/>
        </w:numPr>
        <w:jc w:val="both"/>
      </w:pPr>
      <w:r>
        <w:t>sprawdzenie zgodności złożonych ofert z wymogami przepisów ustawy z dnia 24 września 2003 r. o działalności pożytku publicznego i wolontariacie (</w:t>
      </w:r>
      <w:proofErr w:type="spellStart"/>
      <w:r>
        <w:t>Dz.U</w:t>
      </w:r>
      <w:proofErr w:type="spellEnd"/>
      <w:r>
        <w:t>. z 2023 r. poz. 571) oraz treścią ogłoszenia o otwartym konkursie ofert na realizację zadania publicznego – prowadzenie w 2024 roku jednego punktu nieodpłatnej pomocy prawnej oraz nieodpłatnego poradnictwa obywatelskiego w Ornecie przez organizację pozarządową prowadzącą działalność pożytku publicznego;</w:t>
      </w:r>
    </w:p>
    <w:p w:rsidR="001A4A5E" w:rsidRDefault="001A4A5E" w:rsidP="001A4A5E">
      <w:pPr>
        <w:pStyle w:val="Akapitzlist"/>
        <w:numPr>
          <w:ilvl w:val="0"/>
          <w:numId w:val="6"/>
        </w:numPr>
      </w:pPr>
      <w:r>
        <w:t>ocena formalna i merytoryczna złożonych ofert,</w:t>
      </w:r>
    </w:p>
    <w:p w:rsidR="001A4A5E" w:rsidRDefault="001A4A5E" w:rsidP="001A4A5E">
      <w:pPr>
        <w:pStyle w:val="Akapitzlist"/>
        <w:numPr>
          <w:ilvl w:val="0"/>
          <w:numId w:val="6"/>
        </w:numPr>
      </w:pPr>
      <w:r>
        <w:t>przedłożenie Zarządowi Powiatu Lidzbarskiego opinii w sprawie złożonych ofert.</w:t>
      </w:r>
    </w:p>
    <w:p w:rsidR="001A4A5E" w:rsidRDefault="001A4A5E" w:rsidP="001A4A5E"/>
    <w:p w:rsidR="001A4A5E" w:rsidRPr="00F00FEA" w:rsidRDefault="001A4A5E" w:rsidP="001A4A5E">
      <w:pPr>
        <w:jc w:val="center"/>
        <w:rPr>
          <w:b/>
        </w:rPr>
      </w:pPr>
      <w:r w:rsidRPr="00F00FEA">
        <w:rPr>
          <w:b/>
        </w:rPr>
        <w:t>§ 3.</w:t>
      </w:r>
    </w:p>
    <w:p w:rsidR="001A4A5E" w:rsidRDefault="001A4A5E" w:rsidP="001A4A5E"/>
    <w:p w:rsidR="001A4A5E" w:rsidRDefault="001A4A5E" w:rsidP="001A4A5E">
      <w:pPr>
        <w:pStyle w:val="Akapitzlist"/>
        <w:numPr>
          <w:ilvl w:val="0"/>
          <w:numId w:val="7"/>
        </w:numPr>
        <w:ind w:left="0"/>
        <w:jc w:val="both"/>
      </w:pPr>
      <w:r>
        <w:t xml:space="preserve">Ocena formalna oferty dokonywana jest przez wszystkich członków komisji poprzez sprawdzenie zgodności treści oferty z  wymaganiami określonymi w ust. 5 </w:t>
      </w:r>
      <w:proofErr w:type="spellStart"/>
      <w:r>
        <w:t>pkt</w:t>
      </w:r>
      <w:proofErr w:type="spellEnd"/>
      <w:r>
        <w:t xml:space="preserve"> 3 ogłoszenia metodą zerojedynkową oraz wypełnienie formularzy oceny formalnej stanowiącego załącznik nr 1 do Regulaminu.</w:t>
      </w:r>
    </w:p>
    <w:p w:rsidR="001A4A5E" w:rsidRDefault="001A4A5E" w:rsidP="001A4A5E">
      <w:pPr>
        <w:pStyle w:val="Akapitzlist"/>
        <w:numPr>
          <w:ilvl w:val="0"/>
          <w:numId w:val="7"/>
        </w:numPr>
        <w:ind w:left="0"/>
        <w:jc w:val="both"/>
      </w:pPr>
      <w:r>
        <w:t>Ocenie merytorycznej podlegają wyłącznie oferty, które spełnią wymogi formalne.</w:t>
      </w:r>
    </w:p>
    <w:p w:rsidR="001A4A5E" w:rsidRDefault="001A4A5E" w:rsidP="001A4A5E">
      <w:pPr>
        <w:pStyle w:val="Akapitzlist"/>
        <w:numPr>
          <w:ilvl w:val="0"/>
          <w:numId w:val="7"/>
        </w:numPr>
        <w:ind w:left="0"/>
        <w:jc w:val="both"/>
      </w:pPr>
      <w:r>
        <w:t>Ocena merytoryczna dokonywana jest przez wszystkich członków Komisji według następujących zasad:</w:t>
      </w:r>
    </w:p>
    <w:p w:rsidR="001A4A5E" w:rsidRDefault="001A4A5E" w:rsidP="001A4A5E">
      <w:pPr>
        <w:pStyle w:val="Akapitzlist"/>
        <w:ind w:left="360"/>
        <w:jc w:val="both"/>
      </w:pPr>
      <w:r>
        <w:t>1)  w kryterium „przygotowanie zawodowe (kwalifikacje) oraz doświadczenie osób przewidzianych do realizacji zadania” Komisja przyznaje:</w:t>
      </w:r>
    </w:p>
    <w:p w:rsidR="001A4A5E" w:rsidRDefault="001A4A5E" w:rsidP="001A4A5E">
      <w:pPr>
        <w:pStyle w:val="Akapitzlist"/>
        <w:ind w:left="360"/>
        <w:jc w:val="both"/>
      </w:pPr>
      <w:r>
        <w:t>- 5 punktów za każdą osobę będącą radcą prawnym albo adwokatem, albo doradcą, o którym mowa w art. 11 ust. 3a ustawy o nieodpłatnej pomocy prawnej, nieodpłatnym poradnictwie obywatelskim oraz edukacji prawnej, z doświadczeniem  w udzielaniu nieodpłatnych porad prawnych lub poradnictwa obywatelskiego, przewidzianą do udzielania porad lub na zastępstwo,</w:t>
      </w:r>
    </w:p>
    <w:p w:rsidR="001A4A5E" w:rsidRDefault="001A4A5E" w:rsidP="001A4A5E">
      <w:pPr>
        <w:pStyle w:val="Akapitzlist"/>
        <w:ind w:left="360"/>
        <w:jc w:val="both"/>
      </w:pPr>
      <w:r>
        <w:t>- 4 punkty za każdą osobę będącą radcą prawnym albo adwokatem albo doradcą, o którym mowa w art. 11 ust. 3a ustawy, bez doświadczenia w udzielaniu nieodpłatnych porad prawnych lub poradnictwa obywatelskiego, przewidzianą do udzielania porad lub na zastępstwo,</w:t>
      </w:r>
    </w:p>
    <w:p w:rsidR="001A4A5E" w:rsidRDefault="001A4A5E" w:rsidP="001A4A5E">
      <w:pPr>
        <w:pStyle w:val="Akapitzlist"/>
        <w:ind w:left="360"/>
        <w:jc w:val="both"/>
      </w:pPr>
      <w:r>
        <w:t>- 3 punkty za każdą osobę będącą doradcą podatkowym z doświadczeniem w  udzielaniu nieodpłatnych porad prawnych lub poradnictwa obywatelskiego, przewidzianą do udzielania porad lub na zastępstwo,</w:t>
      </w:r>
    </w:p>
    <w:p w:rsidR="001A4A5E" w:rsidRDefault="001A4A5E" w:rsidP="001A4A5E">
      <w:pPr>
        <w:pStyle w:val="Akapitzlist"/>
        <w:ind w:left="360"/>
        <w:jc w:val="both"/>
      </w:pPr>
      <w:r>
        <w:lastRenderedPageBreak/>
        <w:t>- 2 punkty za każdą osobę będącą doradcą podatkowym bez doświadczenia w udzielaniu nieodpłatnych porad prawnych lub poradnictwa obywatelskiego, przewidzianą do udzielania porad lub na zastępstwo,</w:t>
      </w:r>
    </w:p>
    <w:p w:rsidR="001A4A5E" w:rsidRDefault="001A4A5E" w:rsidP="001A4A5E">
      <w:pPr>
        <w:pStyle w:val="Akapitzlist"/>
        <w:ind w:left="360"/>
        <w:jc w:val="both"/>
      </w:pPr>
      <w:r>
        <w:t xml:space="preserve">- 1 punkt za każdą osobę, o której mowa w art. 11 ust. 3 </w:t>
      </w:r>
      <w:proofErr w:type="spellStart"/>
      <w:r>
        <w:t>pkt</w:t>
      </w:r>
      <w:proofErr w:type="spellEnd"/>
      <w:r>
        <w:t xml:space="preserve"> 2 ustawy.</w:t>
      </w:r>
    </w:p>
    <w:p w:rsidR="001A4A5E" w:rsidRDefault="001A4A5E" w:rsidP="001A4A5E">
      <w:pPr>
        <w:pStyle w:val="Akapitzlist"/>
        <w:ind w:left="360"/>
        <w:jc w:val="both"/>
      </w:pPr>
      <w:r>
        <w:t>Komisja przyznaje punkty maksymalnie 4 osobom (1 udzielającej porad prawnych, 1 udzielającej porad obywatelskich, 2 zastępcom),</w:t>
      </w:r>
    </w:p>
    <w:p w:rsidR="001A4A5E" w:rsidRDefault="001A4A5E" w:rsidP="001A4A5E">
      <w:pPr>
        <w:pStyle w:val="Akapitzlist"/>
        <w:ind w:left="360"/>
        <w:jc w:val="both"/>
      </w:pPr>
      <w:r>
        <w:t>2) w kryterium „liczba i przygotowanie osób współpracujących (wolontariuszy)” Komisja przyznaje po 1 punkcie za każdą osobę, z którą zawarto porozumienie i która będzie służyła asystą osobom uprawnionym,</w:t>
      </w:r>
    </w:p>
    <w:p w:rsidR="001A4A5E" w:rsidRDefault="001A4A5E" w:rsidP="001A4A5E">
      <w:pPr>
        <w:pStyle w:val="Akapitzlist"/>
        <w:ind w:left="360"/>
        <w:jc w:val="both"/>
      </w:pPr>
      <w:r>
        <w:t>3) w kryterium „adekwatność, przejrzystość kalkulacji kosztów zadania” Komisja przyznaje punkty za:</w:t>
      </w:r>
    </w:p>
    <w:p w:rsidR="001A4A5E" w:rsidRDefault="001A4A5E" w:rsidP="001A4A5E">
      <w:pPr>
        <w:pStyle w:val="Akapitzlist"/>
        <w:ind w:left="360"/>
        <w:jc w:val="both"/>
      </w:pPr>
      <w:r>
        <w:t>- udział wynagrodzeń osób udzielających porad do wysokości dotacji – maksymalnie 10 punktów za 100%,</w:t>
      </w:r>
    </w:p>
    <w:p w:rsidR="001A4A5E" w:rsidRDefault="001A4A5E" w:rsidP="001A4A5E">
      <w:pPr>
        <w:pStyle w:val="Akapitzlist"/>
        <w:ind w:left="360"/>
        <w:jc w:val="both"/>
      </w:pPr>
      <w:r>
        <w:t>- udział innych środków finansowych w stosunku do otrzymanej kwoty dotacji – za każde 0,2% 1 punkt, maksymalnie 5 punktów.</w:t>
      </w:r>
    </w:p>
    <w:p w:rsidR="001A4A5E" w:rsidRDefault="001A4A5E" w:rsidP="001A4A5E">
      <w:pPr>
        <w:pStyle w:val="Akapitzlist"/>
        <w:ind w:left="360"/>
        <w:jc w:val="both"/>
      </w:pPr>
      <w:r>
        <w:t>Wyniki oceny merytorycznej, Komisja nanosi do arkusza oceny merytorycznej stanowiącego załącznik nr 2 do Regulaminu.</w:t>
      </w:r>
    </w:p>
    <w:p w:rsidR="001A4A5E" w:rsidRDefault="001A4A5E" w:rsidP="001A4A5E">
      <w:pPr>
        <w:pStyle w:val="Akapitzlist"/>
        <w:numPr>
          <w:ilvl w:val="0"/>
          <w:numId w:val="7"/>
        </w:numPr>
        <w:jc w:val="both"/>
      </w:pPr>
      <w:r>
        <w:t>Komisja sporządza zestawienie pozytywnie ocenianych ofert w kolejności zależnej od ilości uzyskanych punktów, wskazując ofertę najkorzystniejszą, która otrzymała najwyższą liczbę punktów.</w:t>
      </w: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Pr>
        <w:pStyle w:val="Akapitzlist"/>
      </w:pPr>
    </w:p>
    <w:p w:rsidR="001A4A5E" w:rsidRDefault="001A4A5E" w:rsidP="001A4A5E"/>
    <w:p w:rsidR="001A4A5E" w:rsidRDefault="001A4A5E" w:rsidP="001A4A5E"/>
    <w:p w:rsidR="001A4A5E" w:rsidRDefault="001A4A5E" w:rsidP="001A4A5E">
      <w:pPr>
        <w:outlineLvl w:val="0"/>
        <w:rPr>
          <w:b/>
          <w:sz w:val="32"/>
          <w:szCs w:val="32"/>
        </w:rPr>
      </w:pPr>
    </w:p>
    <w:p w:rsidR="001A4A5E" w:rsidRPr="00186E63" w:rsidRDefault="001A4A5E" w:rsidP="001A4A5E">
      <w:pPr>
        <w:jc w:val="right"/>
        <w:outlineLvl w:val="0"/>
      </w:pPr>
      <w:r w:rsidRPr="00186E63">
        <w:lastRenderedPageBreak/>
        <w:t>Załącznik nr 1 do regulaminu</w:t>
      </w:r>
    </w:p>
    <w:p w:rsidR="001A4A5E" w:rsidRPr="00186E63" w:rsidRDefault="001A4A5E" w:rsidP="001A4A5E">
      <w:pPr>
        <w:jc w:val="right"/>
        <w:outlineLvl w:val="0"/>
      </w:pPr>
    </w:p>
    <w:p w:rsidR="001A4A5E" w:rsidRPr="0067288A" w:rsidRDefault="001A4A5E" w:rsidP="001A4A5E">
      <w:pPr>
        <w:jc w:val="center"/>
        <w:outlineLvl w:val="0"/>
        <w:rPr>
          <w:b/>
        </w:rPr>
      </w:pPr>
      <w:r>
        <w:rPr>
          <w:b/>
          <w:sz w:val="32"/>
          <w:szCs w:val="32"/>
        </w:rPr>
        <w:t>ARKUSZ</w:t>
      </w:r>
      <w:r w:rsidRPr="00686EB8">
        <w:rPr>
          <w:b/>
          <w:sz w:val="32"/>
          <w:szCs w:val="32"/>
        </w:rPr>
        <w:t xml:space="preserve"> OCENY FORMALNEJ OFERTY</w:t>
      </w:r>
    </w:p>
    <w:p w:rsidR="001A4A5E" w:rsidRDefault="001A4A5E" w:rsidP="001A4A5E">
      <w:pPr>
        <w:jc w:val="both"/>
      </w:pPr>
    </w:p>
    <w:p w:rsidR="001A4A5E" w:rsidRDefault="001A4A5E" w:rsidP="001A4A5E">
      <w:pPr>
        <w:jc w:val="both"/>
      </w:pPr>
    </w:p>
    <w:p w:rsidR="001A4A5E" w:rsidRDefault="001A4A5E" w:rsidP="001A4A5E">
      <w:r>
        <w:t>Nazwa  oferenta: ………………………………………………………………………………..…..</w:t>
      </w:r>
    </w:p>
    <w:p w:rsidR="001A4A5E" w:rsidRDefault="001A4A5E" w:rsidP="001A4A5E">
      <w:pPr>
        <w:jc w:val="both"/>
      </w:pPr>
    </w:p>
    <w:p w:rsidR="001A4A5E" w:rsidRPr="00264A4A" w:rsidRDefault="001A4A5E" w:rsidP="001A4A5E">
      <w:pPr>
        <w:jc w:val="both"/>
      </w:pPr>
      <w:r>
        <w:t>Tytuł projektu: „Prowadzenie w 2024</w:t>
      </w:r>
      <w:r w:rsidRPr="00264A4A">
        <w:t xml:space="preserve"> roku jednego punktu nieodpłatnej pomocy prawnej </w:t>
      </w:r>
      <w:r>
        <w:t xml:space="preserve">oraz świadczenia nieodpłatnego poradnictwa obywatelskiego </w:t>
      </w:r>
      <w:r w:rsidRPr="00264A4A">
        <w:t>w Ornecie przez organizację pozarządową prowadzącą działalność pożytku publicznego</w:t>
      </w:r>
      <w:r>
        <w:t>”</w:t>
      </w:r>
    </w:p>
    <w:p w:rsidR="001A4A5E" w:rsidRDefault="001A4A5E" w:rsidP="001A4A5E"/>
    <w:p w:rsidR="001A4A5E" w:rsidRDefault="001A4A5E" w:rsidP="001A4A5E">
      <w:r>
        <w:t>Nr oferty  ............................................................ Data wpływu..................................................</w:t>
      </w:r>
    </w:p>
    <w:p w:rsidR="001A4A5E" w:rsidRDefault="001A4A5E" w:rsidP="001A4A5E"/>
    <w:tbl>
      <w:tblPr>
        <w:tblW w:w="9826" w:type="dxa"/>
        <w:tblInd w:w="19" w:type="dxa"/>
        <w:tblLayout w:type="fixed"/>
        <w:tblCellMar>
          <w:top w:w="28" w:type="dxa"/>
          <w:left w:w="28" w:type="dxa"/>
          <w:bottom w:w="28" w:type="dxa"/>
          <w:right w:w="28" w:type="dxa"/>
        </w:tblCellMar>
        <w:tblLook w:val="0000"/>
      </w:tblPr>
      <w:tblGrid>
        <w:gridCol w:w="406"/>
        <w:gridCol w:w="6833"/>
        <w:gridCol w:w="1033"/>
        <w:gridCol w:w="1554"/>
      </w:tblGrid>
      <w:tr w:rsidR="001A4A5E" w:rsidTr="0032449F">
        <w:tc>
          <w:tcPr>
            <w:tcW w:w="406" w:type="dxa"/>
            <w:tcBorders>
              <w:top w:val="single" w:sz="1" w:space="0" w:color="000000"/>
              <w:left w:val="single" w:sz="1" w:space="0" w:color="000000"/>
              <w:bottom w:val="single" w:sz="1" w:space="0" w:color="000000"/>
            </w:tcBorders>
            <w:vAlign w:val="center"/>
          </w:tcPr>
          <w:p w:rsidR="001A4A5E" w:rsidRDefault="001A4A5E" w:rsidP="0032449F">
            <w:pPr>
              <w:pStyle w:val="Nagwektabeli"/>
              <w:spacing w:line="360" w:lineRule="auto"/>
              <w:textAlignment w:val="center"/>
            </w:pPr>
            <w:r>
              <w:t>Lp.</w:t>
            </w:r>
          </w:p>
        </w:tc>
        <w:tc>
          <w:tcPr>
            <w:tcW w:w="6833" w:type="dxa"/>
            <w:tcBorders>
              <w:top w:val="single" w:sz="1" w:space="0" w:color="000000"/>
              <w:left w:val="single" w:sz="1" w:space="0" w:color="000000"/>
              <w:bottom w:val="single" w:sz="1" w:space="0" w:color="000000"/>
            </w:tcBorders>
            <w:vAlign w:val="center"/>
          </w:tcPr>
          <w:p w:rsidR="001A4A5E" w:rsidRDefault="001A4A5E" w:rsidP="0032449F">
            <w:pPr>
              <w:pStyle w:val="Nagwektabeli"/>
              <w:spacing w:line="360" w:lineRule="auto"/>
            </w:pPr>
            <w:r>
              <w:t>Kryterium</w:t>
            </w:r>
          </w:p>
        </w:tc>
        <w:tc>
          <w:tcPr>
            <w:tcW w:w="1033" w:type="dxa"/>
            <w:tcBorders>
              <w:top w:val="single" w:sz="1" w:space="0" w:color="000000"/>
              <w:left w:val="single" w:sz="1" w:space="0" w:color="000000"/>
              <w:bottom w:val="single" w:sz="1" w:space="0" w:color="000000"/>
            </w:tcBorders>
            <w:vAlign w:val="center"/>
          </w:tcPr>
          <w:p w:rsidR="001A4A5E" w:rsidRDefault="001A4A5E" w:rsidP="0032449F">
            <w:pPr>
              <w:pStyle w:val="Nagwektabeli"/>
              <w:spacing w:line="360" w:lineRule="auto"/>
            </w:pPr>
            <w:r>
              <w:t>TAK</w:t>
            </w:r>
          </w:p>
        </w:tc>
        <w:tc>
          <w:tcPr>
            <w:tcW w:w="1554" w:type="dxa"/>
            <w:tcBorders>
              <w:top w:val="single" w:sz="1" w:space="0" w:color="000000"/>
              <w:left w:val="single" w:sz="1" w:space="0" w:color="000000"/>
              <w:bottom w:val="single" w:sz="1" w:space="0" w:color="000000"/>
              <w:right w:val="single" w:sz="1" w:space="0" w:color="000000"/>
            </w:tcBorders>
            <w:vAlign w:val="center"/>
          </w:tcPr>
          <w:p w:rsidR="001A4A5E" w:rsidRDefault="001A4A5E" w:rsidP="0032449F">
            <w:pPr>
              <w:pStyle w:val="Nagwektabeli"/>
              <w:spacing w:line="360" w:lineRule="auto"/>
            </w:pPr>
            <w:r>
              <w:t>NIE</w:t>
            </w:r>
          </w:p>
        </w:tc>
      </w:tr>
      <w:tr w:rsidR="001A4A5E" w:rsidRPr="00E4331C" w:rsidTr="0032449F">
        <w:tc>
          <w:tcPr>
            <w:tcW w:w="406" w:type="dxa"/>
            <w:tcBorders>
              <w:left w:val="single" w:sz="1" w:space="0" w:color="000000"/>
              <w:bottom w:val="single" w:sz="1" w:space="0" w:color="000000"/>
            </w:tcBorders>
            <w:vAlign w:val="center"/>
          </w:tcPr>
          <w:p w:rsidR="001A4A5E" w:rsidRPr="00E4331C" w:rsidRDefault="001A4A5E" w:rsidP="0032449F">
            <w:pPr>
              <w:pStyle w:val="Zawartotabeli"/>
              <w:jc w:val="center"/>
              <w:textAlignment w:val="center"/>
              <w:rPr>
                <w:sz w:val="22"/>
                <w:szCs w:val="22"/>
              </w:rPr>
            </w:pPr>
            <w:r w:rsidRPr="00E4331C">
              <w:rPr>
                <w:sz w:val="22"/>
                <w:szCs w:val="22"/>
              </w:rPr>
              <w:t>1.</w:t>
            </w:r>
          </w:p>
        </w:tc>
        <w:tc>
          <w:tcPr>
            <w:tcW w:w="6833" w:type="dxa"/>
            <w:tcBorders>
              <w:left w:val="single" w:sz="1" w:space="0" w:color="000000"/>
              <w:bottom w:val="single" w:sz="1" w:space="0" w:color="000000"/>
            </w:tcBorders>
          </w:tcPr>
          <w:p w:rsidR="001A4A5E" w:rsidRPr="00E4331C" w:rsidRDefault="001A4A5E" w:rsidP="0032449F">
            <w:pPr>
              <w:pStyle w:val="Zawartotabeli"/>
              <w:rPr>
                <w:sz w:val="22"/>
                <w:szCs w:val="22"/>
              </w:rPr>
            </w:pPr>
            <w:r w:rsidRPr="00E4331C">
              <w:rPr>
                <w:sz w:val="22"/>
                <w:szCs w:val="22"/>
              </w:rPr>
              <w:t>Oferta wpłynęła w terminie.</w:t>
            </w:r>
          </w:p>
        </w:tc>
        <w:tc>
          <w:tcPr>
            <w:tcW w:w="1033" w:type="dxa"/>
            <w:tcBorders>
              <w:left w:val="single" w:sz="1" w:space="0" w:color="000000"/>
              <w:bottom w:val="single" w:sz="1" w:space="0" w:color="000000"/>
            </w:tcBorders>
          </w:tcPr>
          <w:p w:rsidR="001A4A5E" w:rsidRPr="00E4331C" w:rsidRDefault="001A4A5E" w:rsidP="0032449F">
            <w:pPr>
              <w:pStyle w:val="Zawartotabeli"/>
              <w:rPr>
                <w:sz w:val="22"/>
                <w:szCs w:val="22"/>
              </w:rPr>
            </w:pPr>
          </w:p>
        </w:tc>
        <w:tc>
          <w:tcPr>
            <w:tcW w:w="1554" w:type="dxa"/>
            <w:tcBorders>
              <w:left w:val="single" w:sz="1" w:space="0" w:color="000000"/>
              <w:bottom w:val="single" w:sz="1" w:space="0" w:color="000000"/>
              <w:right w:val="single" w:sz="1" w:space="0" w:color="000000"/>
            </w:tcBorders>
          </w:tcPr>
          <w:p w:rsidR="001A4A5E" w:rsidRPr="00E4331C" w:rsidRDefault="001A4A5E" w:rsidP="0032449F">
            <w:pPr>
              <w:pStyle w:val="Zawartotabeli"/>
              <w:rPr>
                <w:sz w:val="22"/>
                <w:szCs w:val="22"/>
              </w:rPr>
            </w:pPr>
          </w:p>
        </w:tc>
      </w:tr>
      <w:tr w:rsidR="001A4A5E" w:rsidRPr="00E4331C" w:rsidTr="0032449F">
        <w:tc>
          <w:tcPr>
            <w:tcW w:w="406" w:type="dxa"/>
            <w:tcBorders>
              <w:left w:val="single" w:sz="1" w:space="0" w:color="000000"/>
              <w:bottom w:val="single" w:sz="1" w:space="0" w:color="000000"/>
            </w:tcBorders>
            <w:vAlign w:val="center"/>
          </w:tcPr>
          <w:p w:rsidR="001A4A5E" w:rsidRPr="00E4331C" w:rsidRDefault="001A4A5E" w:rsidP="0032449F">
            <w:pPr>
              <w:pStyle w:val="Zawartotabeli"/>
              <w:jc w:val="center"/>
              <w:textAlignment w:val="center"/>
              <w:rPr>
                <w:sz w:val="22"/>
                <w:szCs w:val="22"/>
              </w:rPr>
            </w:pPr>
            <w:r w:rsidRPr="00E4331C">
              <w:rPr>
                <w:sz w:val="22"/>
                <w:szCs w:val="22"/>
              </w:rPr>
              <w:t>2.</w:t>
            </w:r>
          </w:p>
        </w:tc>
        <w:tc>
          <w:tcPr>
            <w:tcW w:w="6833" w:type="dxa"/>
            <w:tcBorders>
              <w:left w:val="single" w:sz="1" w:space="0" w:color="000000"/>
              <w:bottom w:val="single" w:sz="1" w:space="0" w:color="000000"/>
            </w:tcBorders>
          </w:tcPr>
          <w:p w:rsidR="001A4A5E" w:rsidRPr="00E4331C" w:rsidRDefault="001A4A5E" w:rsidP="0032449F">
            <w:pPr>
              <w:pStyle w:val="Zawartotabeli"/>
              <w:rPr>
                <w:sz w:val="22"/>
                <w:szCs w:val="22"/>
              </w:rPr>
            </w:pPr>
            <w:r w:rsidRPr="00E4331C">
              <w:rPr>
                <w:sz w:val="22"/>
                <w:szCs w:val="22"/>
              </w:rPr>
              <w:t xml:space="preserve">Oferent jest </w:t>
            </w:r>
            <w:r>
              <w:rPr>
                <w:sz w:val="22"/>
                <w:szCs w:val="22"/>
              </w:rPr>
              <w:t>wpisany na listę Wojewody Warmińsko-Mazurskiego</w:t>
            </w:r>
            <w:r w:rsidRPr="00E4331C">
              <w:rPr>
                <w:sz w:val="22"/>
                <w:szCs w:val="22"/>
              </w:rPr>
              <w:t>.</w:t>
            </w:r>
          </w:p>
        </w:tc>
        <w:tc>
          <w:tcPr>
            <w:tcW w:w="1033" w:type="dxa"/>
            <w:tcBorders>
              <w:left w:val="single" w:sz="1" w:space="0" w:color="000000"/>
              <w:bottom w:val="single" w:sz="1" w:space="0" w:color="000000"/>
            </w:tcBorders>
          </w:tcPr>
          <w:p w:rsidR="001A4A5E" w:rsidRPr="00E4331C" w:rsidRDefault="001A4A5E" w:rsidP="0032449F">
            <w:pPr>
              <w:pStyle w:val="Zawartotabeli"/>
              <w:rPr>
                <w:sz w:val="22"/>
                <w:szCs w:val="22"/>
              </w:rPr>
            </w:pPr>
          </w:p>
        </w:tc>
        <w:tc>
          <w:tcPr>
            <w:tcW w:w="1554" w:type="dxa"/>
            <w:tcBorders>
              <w:left w:val="single" w:sz="1" w:space="0" w:color="000000"/>
              <w:bottom w:val="single" w:sz="1" w:space="0" w:color="000000"/>
              <w:right w:val="single" w:sz="1" w:space="0" w:color="000000"/>
            </w:tcBorders>
          </w:tcPr>
          <w:p w:rsidR="001A4A5E" w:rsidRPr="00E4331C" w:rsidRDefault="001A4A5E" w:rsidP="0032449F">
            <w:pPr>
              <w:pStyle w:val="Zawartotabeli"/>
              <w:rPr>
                <w:sz w:val="22"/>
                <w:szCs w:val="22"/>
              </w:rPr>
            </w:pPr>
          </w:p>
        </w:tc>
      </w:tr>
      <w:tr w:rsidR="001A4A5E" w:rsidRPr="00E4331C" w:rsidTr="0032449F">
        <w:tc>
          <w:tcPr>
            <w:tcW w:w="406" w:type="dxa"/>
            <w:tcBorders>
              <w:left w:val="single" w:sz="1" w:space="0" w:color="000000"/>
              <w:bottom w:val="single" w:sz="1" w:space="0" w:color="000000"/>
            </w:tcBorders>
            <w:vAlign w:val="center"/>
          </w:tcPr>
          <w:p w:rsidR="001A4A5E" w:rsidRPr="00E4331C" w:rsidRDefault="001A4A5E" w:rsidP="0032449F">
            <w:pPr>
              <w:pStyle w:val="Zawartotabeli"/>
              <w:jc w:val="center"/>
              <w:textAlignment w:val="center"/>
              <w:rPr>
                <w:sz w:val="22"/>
                <w:szCs w:val="22"/>
              </w:rPr>
            </w:pPr>
            <w:r w:rsidRPr="00E4331C">
              <w:rPr>
                <w:sz w:val="22"/>
                <w:szCs w:val="22"/>
              </w:rPr>
              <w:t>3.</w:t>
            </w:r>
          </w:p>
        </w:tc>
        <w:tc>
          <w:tcPr>
            <w:tcW w:w="6833" w:type="dxa"/>
            <w:tcBorders>
              <w:left w:val="single" w:sz="1" w:space="0" w:color="000000"/>
              <w:bottom w:val="single" w:sz="1" w:space="0" w:color="000000"/>
            </w:tcBorders>
          </w:tcPr>
          <w:p w:rsidR="001A4A5E" w:rsidRPr="00E4331C" w:rsidRDefault="001A4A5E" w:rsidP="0032449F">
            <w:pPr>
              <w:pStyle w:val="Zawartotabeli"/>
              <w:rPr>
                <w:sz w:val="22"/>
                <w:szCs w:val="22"/>
              </w:rPr>
            </w:pPr>
            <w:r w:rsidRPr="00E4331C">
              <w:rPr>
                <w:sz w:val="22"/>
                <w:szCs w:val="22"/>
              </w:rPr>
              <w:t>Oferta została złożona na obowiązującym druku.</w:t>
            </w:r>
          </w:p>
        </w:tc>
        <w:tc>
          <w:tcPr>
            <w:tcW w:w="1033" w:type="dxa"/>
            <w:tcBorders>
              <w:left w:val="single" w:sz="1" w:space="0" w:color="000000"/>
              <w:bottom w:val="single" w:sz="1" w:space="0" w:color="000000"/>
            </w:tcBorders>
          </w:tcPr>
          <w:p w:rsidR="001A4A5E" w:rsidRPr="00E4331C" w:rsidRDefault="001A4A5E" w:rsidP="0032449F">
            <w:pPr>
              <w:pStyle w:val="Zawartotabeli"/>
              <w:rPr>
                <w:sz w:val="22"/>
                <w:szCs w:val="22"/>
              </w:rPr>
            </w:pPr>
          </w:p>
        </w:tc>
        <w:tc>
          <w:tcPr>
            <w:tcW w:w="1554" w:type="dxa"/>
            <w:tcBorders>
              <w:left w:val="single" w:sz="1" w:space="0" w:color="000000"/>
              <w:bottom w:val="single" w:sz="1" w:space="0" w:color="000000"/>
              <w:right w:val="single" w:sz="1" w:space="0" w:color="000000"/>
            </w:tcBorders>
          </w:tcPr>
          <w:p w:rsidR="001A4A5E" w:rsidRPr="00E4331C" w:rsidRDefault="001A4A5E" w:rsidP="0032449F">
            <w:pPr>
              <w:pStyle w:val="Zawartotabeli"/>
              <w:rPr>
                <w:sz w:val="22"/>
                <w:szCs w:val="22"/>
              </w:rPr>
            </w:pPr>
          </w:p>
        </w:tc>
      </w:tr>
      <w:tr w:rsidR="001A4A5E" w:rsidRPr="00E4331C" w:rsidTr="0032449F">
        <w:tc>
          <w:tcPr>
            <w:tcW w:w="406" w:type="dxa"/>
            <w:tcBorders>
              <w:left w:val="single" w:sz="1" w:space="0" w:color="000000"/>
              <w:bottom w:val="single" w:sz="1" w:space="0" w:color="000000"/>
            </w:tcBorders>
            <w:vAlign w:val="center"/>
          </w:tcPr>
          <w:p w:rsidR="001A4A5E" w:rsidRPr="00E4331C" w:rsidRDefault="001A4A5E" w:rsidP="0032449F">
            <w:pPr>
              <w:pStyle w:val="Zawartotabeli"/>
              <w:jc w:val="center"/>
              <w:textAlignment w:val="center"/>
              <w:rPr>
                <w:sz w:val="22"/>
                <w:szCs w:val="22"/>
              </w:rPr>
            </w:pPr>
            <w:r>
              <w:rPr>
                <w:sz w:val="22"/>
                <w:szCs w:val="22"/>
              </w:rPr>
              <w:t>4</w:t>
            </w:r>
            <w:r w:rsidRPr="00E4331C">
              <w:rPr>
                <w:sz w:val="22"/>
                <w:szCs w:val="22"/>
              </w:rPr>
              <w:t>.</w:t>
            </w:r>
          </w:p>
        </w:tc>
        <w:tc>
          <w:tcPr>
            <w:tcW w:w="6833" w:type="dxa"/>
            <w:tcBorders>
              <w:left w:val="single" w:sz="1" w:space="0" w:color="000000"/>
              <w:bottom w:val="single" w:sz="2" w:space="0" w:color="000000"/>
            </w:tcBorders>
          </w:tcPr>
          <w:p w:rsidR="001A4A5E" w:rsidRPr="00E4331C" w:rsidRDefault="001A4A5E" w:rsidP="0032449F">
            <w:pPr>
              <w:pStyle w:val="Zawartotabeli"/>
              <w:rPr>
                <w:sz w:val="22"/>
                <w:szCs w:val="22"/>
              </w:rPr>
            </w:pPr>
            <w:r w:rsidRPr="00E4331C">
              <w:rPr>
                <w:sz w:val="22"/>
                <w:szCs w:val="22"/>
              </w:rPr>
              <w:t>Oferta i załączniki (kserokopie) zostały pod</w:t>
            </w:r>
            <w:r>
              <w:rPr>
                <w:sz w:val="22"/>
                <w:szCs w:val="22"/>
              </w:rPr>
              <w:t>pisane przez osobę/y uprawnione</w:t>
            </w:r>
          </w:p>
        </w:tc>
        <w:tc>
          <w:tcPr>
            <w:tcW w:w="1033" w:type="dxa"/>
            <w:tcBorders>
              <w:left w:val="single" w:sz="1" w:space="0" w:color="000000"/>
              <w:bottom w:val="single" w:sz="1" w:space="0" w:color="000000"/>
            </w:tcBorders>
          </w:tcPr>
          <w:p w:rsidR="001A4A5E" w:rsidRPr="00E4331C" w:rsidRDefault="001A4A5E" w:rsidP="0032449F">
            <w:pPr>
              <w:pStyle w:val="Zawartotabeli"/>
              <w:rPr>
                <w:sz w:val="22"/>
                <w:szCs w:val="22"/>
              </w:rPr>
            </w:pPr>
          </w:p>
        </w:tc>
        <w:tc>
          <w:tcPr>
            <w:tcW w:w="1554" w:type="dxa"/>
            <w:tcBorders>
              <w:left w:val="single" w:sz="1" w:space="0" w:color="000000"/>
              <w:bottom w:val="single" w:sz="1" w:space="0" w:color="000000"/>
              <w:right w:val="single" w:sz="1" w:space="0" w:color="000000"/>
            </w:tcBorders>
          </w:tcPr>
          <w:p w:rsidR="001A4A5E" w:rsidRPr="00E4331C" w:rsidRDefault="001A4A5E" w:rsidP="0032449F">
            <w:pPr>
              <w:pStyle w:val="Zawartotabeli"/>
              <w:rPr>
                <w:sz w:val="22"/>
                <w:szCs w:val="22"/>
              </w:rPr>
            </w:pPr>
          </w:p>
        </w:tc>
      </w:tr>
      <w:tr w:rsidR="001A4A5E" w:rsidRPr="00E4331C" w:rsidTr="0032449F">
        <w:tc>
          <w:tcPr>
            <w:tcW w:w="406" w:type="dxa"/>
            <w:vMerge w:val="restart"/>
            <w:tcBorders>
              <w:left w:val="single" w:sz="1" w:space="0" w:color="000000"/>
              <w:right w:val="single" w:sz="4" w:space="0" w:color="auto"/>
            </w:tcBorders>
          </w:tcPr>
          <w:p w:rsidR="001A4A5E" w:rsidRDefault="001A4A5E" w:rsidP="0032449F">
            <w:pPr>
              <w:pStyle w:val="Zawartotabeli"/>
              <w:jc w:val="center"/>
              <w:textAlignment w:val="center"/>
              <w:rPr>
                <w:sz w:val="22"/>
                <w:szCs w:val="22"/>
              </w:rPr>
            </w:pPr>
            <w:r>
              <w:rPr>
                <w:sz w:val="22"/>
                <w:szCs w:val="22"/>
              </w:rPr>
              <w:t>5</w:t>
            </w:r>
            <w:r w:rsidRPr="00E4331C">
              <w:rPr>
                <w:sz w:val="22"/>
                <w:szCs w:val="22"/>
              </w:rPr>
              <w:t>.</w:t>
            </w:r>
          </w:p>
          <w:p w:rsidR="001A4A5E" w:rsidRDefault="001A4A5E" w:rsidP="0032449F">
            <w:pPr>
              <w:pStyle w:val="Zawartotabeli"/>
              <w:textAlignment w:val="center"/>
              <w:rPr>
                <w:sz w:val="20"/>
              </w:rPr>
            </w:pPr>
            <w:r>
              <w:rPr>
                <w:sz w:val="20"/>
              </w:rPr>
              <w:t>5.1</w:t>
            </w:r>
          </w:p>
          <w:p w:rsidR="001A4A5E" w:rsidRDefault="001A4A5E" w:rsidP="0032449F">
            <w:pPr>
              <w:pStyle w:val="Zawartotabeli"/>
              <w:textAlignment w:val="center"/>
              <w:rPr>
                <w:sz w:val="20"/>
              </w:rPr>
            </w:pPr>
          </w:p>
          <w:p w:rsidR="001A4A5E" w:rsidRDefault="001A4A5E" w:rsidP="0032449F">
            <w:pPr>
              <w:pStyle w:val="Zawartotabeli"/>
              <w:textAlignment w:val="center"/>
              <w:rPr>
                <w:sz w:val="20"/>
              </w:rPr>
            </w:pPr>
            <w:r>
              <w:rPr>
                <w:sz w:val="20"/>
              </w:rPr>
              <w:t>5.2.</w:t>
            </w:r>
          </w:p>
          <w:p w:rsidR="001A4A5E" w:rsidRDefault="001A4A5E" w:rsidP="0032449F">
            <w:pPr>
              <w:pStyle w:val="Zawartotabeli"/>
              <w:textAlignment w:val="center"/>
              <w:rPr>
                <w:sz w:val="20"/>
              </w:rPr>
            </w:pPr>
            <w:r>
              <w:rPr>
                <w:sz w:val="20"/>
              </w:rPr>
              <w:t>5.3</w:t>
            </w:r>
          </w:p>
          <w:p w:rsidR="001A4A5E" w:rsidRDefault="001A4A5E" w:rsidP="0032449F">
            <w:pPr>
              <w:pStyle w:val="Zawartotabeli"/>
              <w:textAlignment w:val="center"/>
              <w:rPr>
                <w:sz w:val="20"/>
              </w:rPr>
            </w:pPr>
          </w:p>
          <w:p w:rsidR="001A4A5E" w:rsidRDefault="001A4A5E" w:rsidP="0032449F">
            <w:pPr>
              <w:pStyle w:val="Zawartotabeli"/>
              <w:textAlignment w:val="center"/>
              <w:rPr>
                <w:sz w:val="20"/>
              </w:rPr>
            </w:pPr>
            <w:r>
              <w:rPr>
                <w:sz w:val="20"/>
              </w:rPr>
              <w:t>5.4</w:t>
            </w:r>
          </w:p>
          <w:p w:rsidR="001A4A5E" w:rsidRPr="00FC56FD" w:rsidRDefault="001A4A5E" w:rsidP="0032449F">
            <w:pPr>
              <w:pStyle w:val="Zawartotabeli"/>
              <w:textAlignment w:val="center"/>
              <w:rPr>
                <w:sz w:val="20"/>
              </w:rPr>
            </w:pPr>
            <w:r>
              <w:rPr>
                <w:sz w:val="20"/>
              </w:rPr>
              <w:t>5.5</w:t>
            </w:r>
          </w:p>
          <w:p w:rsidR="001A4A5E" w:rsidRPr="00E4331C" w:rsidRDefault="001A4A5E" w:rsidP="0032449F">
            <w:pPr>
              <w:pStyle w:val="Zawartotabeli"/>
              <w:textAlignment w:val="center"/>
              <w:rPr>
                <w:sz w:val="22"/>
                <w:szCs w:val="22"/>
              </w:rPr>
            </w:pPr>
          </w:p>
        </w:tc>
        <w:tc>
          <w:tcPr>
            <w:tcW w:w="6833" w:type="dxa"/>
            <w:tcBorders>
              <w:top w:val="single" w:sz="2" w:space="0" w:color="000000"/>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r w:rsidRPr="00E4331C">
              <w:rPr>
                <w:sz w:val="22"/>
                <w:szCs w:val="22"/>
              </w:rPr>
              <w:t>Ofer</w:t>
            </w:r>
            <w:r>
              <w:rPr>
                <w:sz w:val="22"/>
                <w:szCs w:val="22"/>
              </w:rPr>
              <w:t>ta zawiera  wymagane załączniki:</w:t>
            </w:r>
          </w:p>
        </w:tc>
        <w:tc>
          <w:tcPr>
            <w:tcW w:w="1033" w:type="dxa"/>
            <w:tcBorders>
              <w:left w:val="single" w:sz="4" w:space="0" w:color="auto"/>
              <w:bottom w:val="single" w:sz="4" w:space="0" w:color="auto"/>
            </w:tcBorders>
          </w:tcPr>
          <w:p w:rsidR="001A4A5E" w:rsidRPr="00E4331C" w:rsidRDefault="001A4A5E" w:rsidP="0032449F">
            <w:pPr>
              <w:pStyle w:val="Zawartotabeli"/>
              <w:rPr>
                <w:sz w:val="22"/>
                <w:szCs w:val="22"/>
              </w:rPr>
            </w:pPr>
          </w:p>
        </w:tc>
        <w:tc>
          <w:tcPr>
            <w:tcW w:w="1554" w:type="dxa"/>
            <w:tcBorders>
              <w:left w:val="single" w:sz="1" w:space="0" w:color="000000"/>
              <w:bottom w:val="single" w:sz="4" w:space="0" w:color="auto"/>
              <w:right w:val="single" w:sz="1" w:space="0" w:color="000000"/>
            </w:tcBorders>
          </w:tcPr>
          <w:p w:rsidR="001A4A5E" w:rsidRPr="00E4331C" w:rsidRDefault="001A4A5E" w:rsidP="0032449F">
            <w:pPr>
              <w:pStyle w:val="Zawartotabeli"/>
              <w:rPr>
                <w:sz w:val="22"/>
                <w:szCs w:val="22"/>
              </w:rPr>
            </w:pPr>
          </w:p>
        </w:tc>
      </w:tr>
      <w:tr w:rsidR="001A4A5E" w:rsidRPr="00E4331C" w:rsidTr="0032449F">
        <w:tc>
          <w:tcPr>
            <w:tcW w:w="406" w:type="dxa"/>
            <w:vMerge/>
            <w:tcBorders>
              <w:left w:val="single" w:sz="1" w:space="0" w:color="000000"/>
              <w:right w:val="single" w:sz="4" w:space="0" w:color="auto"/>
            </w:tcBorders>
            <w:vAlign w:val="center"/>
          </w:tcPr>
          <w:p w:rsidR="001A4A5E" w:rsidRPr="00E4331C" w:rsidRDefault="001A4A5E" w:rsidP="0032449F">
            <w:pPr>
              <w:pStyle w:val="Zawartotabeli"/>
              <w:ind w:left="720"/>
              <w:jc w:val="center"/>
              <w:textAlignment w:val="center"/>
              <w:rPr>
                <w:sz w:val="22"/>
                <w:szCs w:val="22"/>
              </w:rPr>
            </w:pPr>
          </w:p>
        </w:tc>
        <w:tc>
          <w:tcPr>
            <w:tcW w:w="6833" w:type="dxa"/>
            <w:tcBorders>
              <w:top w:val="single" w:sz="4" w:space="0" w:color="auto"/>
              <w:left w:val="single" w:sz="4" w:space="0" w:color="auto"/>
              <w:bottom w:val="single" w:sz="4" w:space="0" w:color="auto"/>
              <w:right w:val="single" w:sz="4" w:space="0" w:color="auto"/>
            </w:tcBorders>
          </w:tcPr>
          <w:p w:rsidR="001A4A5E" w:rsidRPr="00904573" w:rsidRDefault="001A4A5E" w:rsidP="0032449F">
            <w:pPr>
              <w:pStyle w:val="Zawartotabeli"/>
              <w:rPr>
                <w:sz w:val="20"/>
              </w:rPr>
            </w:pPr>
            <w:r>
              <w:rPr>
                <w:sz w:val="20"/>
              </w:rPr>
              <w:t xml:space="preserve">zawarta umowa z mediatorem </w:t>
            </w:r>
          </w:p>
        </w:tc>
        <w:tc>
          <w:tcPr>
            <w:tcW w:w="1033"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c>
          <w:tcPr>
            <w:tcW w:w="1554"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r>
      <w:tr w:rsidR="001A4A5E" w:rsidRPr="00E4331C" w:rsidTr="0032449F">
        <w:tc>
          <w:tcPr>
            <w:tcW w:w="406" w:type="dxa"/>
            <w:vMerge/>
            <w:tcBorders>
              <w:left w:val="single" w:sz="1" w:space="0" w:color="000000"/>
              <w:right w:val="single" w:sz="4" w:space="0" w:color="auto"/>
            </w:tcBorders>
            <w:vAlign w:val="center"/>
          </w:tcPr>
          <w:p w:rsidR="001A4A5E" w:rsidRPr="00E4331C" w:rsidRDefault="001A4A5E" w:rsidP="0032449F">
            <w:pPr>
              <w:pStyle w:val="Zawartotabeli"/>
              <w:ind w:left="720"/>
              <w:jc w:val="center"/>
              <w:textAlignment w:val="center"/>
              <w:rPr>
                <w:sz w:val="22"/>
                <w:szCs w:val="22"/>
              </w:rPr>
            </w:pPr>
          </w:p>
        </w:tc>
        <w:tc>
          <w:tcPr>
            <w:tcW w:w="6833" w:type="dxa"/>
            <w:tcBorders>
              <w:top w:val="single" w:sz="4" w:space="0" w:color="auto"/>
              <w:left w:val="single" w:sz="4" w:space="0" w:color="auto"/>
              <w:bottom w:val="single" w:sz="4" w:space="0" w:color="auto"/>
              <w:right w:val="single" w:sz="4" w:space="0" w:color="auto"/>
            </w:tcBorders>
          </w:tcPr>
          <w:p w:rsidR="001A4A5E" w:rsidRPr="00904573" w:rsidRDefault="001A4A5E" w:rsidP="0032449F">
            <w:pPr>
              <w:pStyle w:val="Zawartotabeli"/>
              <w:rPr>
                <w:sz w:val="20"/>
              </w:rPr>
            </w:pPr>
            <w:r>
              <w:rPr>
                <w:sz w:val="20"/>
              </w:rPr>
              <w:t>zawarte umowy z osobami świadczącymi pomoc prawną</w:t>
            </w:r>
          </w:p>
        </w:tc>
        <w:tc>
          <w:tcPr>
            <w:tcW w:w="1033"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c>
          <w:tcPr>
            <w:tcW w:w="1554"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r>
      <w:tr w:rsidR="001A4A5E" w:rsidRPr="00E4331C" w:rsidTr="0032449F">
        <w:tc>
          <w:tcPr>
            <w:tcW w:w="406" w:type="dxa"/>
            <w:vMerge/>
            <w:tcBorders>
              <w:left w:val="single" w:sz="1" w:space="0" w:color="000000"/>
              <w:right w:val="single" w:sz="4" w:space="0" w:color="auto"/>
            </w:tcBorders>
            <w:vAlign w:val="center"/>
          </w:tcPr>
          <w:p w:rsidR="001A4A5E" w:rsidRPr="00E4331C" w:rsidRDefault="001A4A5E" w:rsidP="0032449F">
            <w:pPr>
              <w:pStyle w:val="Zawartotabeli"/>
              <w:ind w:left="720"/>
              <w:jc w:val="center"/>
              <w:textAlignment w:val="center"/>
              <w:rPr>
                <w:sz w:val="22"/>
                <w:szCs w:val="22"/>
              </w:rPr>
            </w:pPr>
          </w:p>
        </w:tc>
        <w:tc>
          <w:tcPr>
            <w:tcW w:w="6833" w:type="dxa"/>
            <w:tcBorders>
              <w:top w:val="single" w:sz="4" w:space="0" w:color="auto"/>
              <w:left w:val="single" w:sz="4" w:space="0" w:color="auto"/>
              <w:bottom w:val="single" w:sz="4" w:space="0" w:color="auto"/>
              <w:right w:val="single" w:sz="4" w:space="0" w:color="auto"/>
            </w:tcBorders>
          </w:tcPr>
          <w:p w:rsidR="001A4A5E" w:rsidRDefault="001A4A5E" w:rsidP="0032449F">
            <w:pPr>
              <w:pStyle w:val="Zawartotabeli"/>
              <w:rPr>
                <w:sz w:val="20"/>
              </w:rPr>
            </w:pPr>
            <w:r>
              <w:rPr>
                <w:sz w:val="20"/>
              </w:rPr>
              <w:t>porozumienia o wolontariacie</w:t>
            </w:r>
          </w:p>
        </w:tc>
        <w:tc>
          <w:tcPr>
            <w:tcW w:w="1033"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c>
          <w:tcPr>
            <w:tcW w:w="1554"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r>
      <w:tr w:rsidR="001A4A5E" w:rsidRPr="00E4331C" w:rsidTr="0032449F">
        <w:tc>
          <w:tcPr>
            <w:tcW w:w="406" w:type="dxa"/>
            <w:vMerge/>
            <w:tcBorders>
              <w:left w:val="single" w:sz="1" w:space="0" w:color="000000"/>
              <w:right w:val="single" w:sz="4" w:space="0" w:color="auto"/>
            </w:tcBorders>
            <w:vAlign w:val="center"/>
          </w:tcPr>
          <w:p w:rsidR="001A4A5E" w:rsidRPr="00E4331C" w:rsidRDefault="001A4A5E" w:rsidP="0032449F">
            <w:pPr>
              <w:pStyle w:val="Zawartotabeli"/>
              <w:ind w:left="720"/>
              <w:jc w:val="center"/>
              <w:textAlignment w:val="center"/>
              <w:rPr>
                <w:sz w:val="22"/>
                <w:szCs w:val="22"/>
              </w:rPr>
            </w:pPr>
          </w:p>
        </w:tc>
        <w:tc>
          <w:tcPr>
            <w:tcW w:w="6833" w:type="dxa"/>
            <w:tcBorders>
              <w:top w:val="single" w:sz="4" w:space="0" w:color="auto"/>
              <w:left w:val="single" w:sz="4" w:space="0" w:color="auto"/>
              <w:bottom w:val="single" w:sz="4" w:space="0" w:color="auto"/>
              <w:right w:val="single" w:sz="4" w:space="0" w:color="auto"/>
            </w:tcBorders>
          </w:tcPr>
          <w:p w:rsidR="001A4A5E" w:rsidRDefault="001A4A5E" w:rsidP="0032449F">
            <w:pPr>
              <w:pStyle w:val="Zawartotabeli"/>
              <w:rPr>
                <w:sz w:val="20"/>
              </w:rPr>
            </w:pPr>
            <w:r>
              <w:rPr>
                <w:sz w:val="20"/>
              </w:rPr>
              <w:t>zawarte umowy z osobami świadczącymi poradnictwo obywatelskie</w:t>
            </w:r>
          </w:p>
        </w:tc>
        <w:tc>
          <w:tcPr>
            <w:tcW w:w="1033"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c>
          <w:tcPr>
            <w:tcW w:w="1554"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r>
      <w:tr w:rsidR="001A4A5E" w:rsidRPr="00E4331C" w:rsidTr="0032449F">
        <w:tc>
          <w:tcPr>
            <w:tcW w:w="406" w:type="dxa"/>
            <w:vMerge/>
            <w:tcBorders>
              <w:left w:val="single" w:sz="1" w:space="0" w:color="000000"/>
              <w:right w:val="single" w:sz="4" w:space="0" w:color="auto"/>
            </w:tcBorders>
            <w:vAlign w:val="center"/>
          </w:tcPr>
          <w:p w:rsidR="001A4A5E" w:rsidRPr="00E4331C" w:rsidRDefault="001A4A5E" w:rsidP="0032449F">
            <w:pPr>
              <w:pStyle w:val="Zawartotabeli"/>
              <w:ind w:left="720"/>
              <w:jc w:val="center"/>
              <w:textAlignment w:val="center"/>
              <w:rPr>
                <w:sz w:val="22"/>
                <w:szCs w:val="22"/>
              </w:rPr>
            </w:pPr>
          </w:p>
        </w:tc>
        <w:tc>
          <w:tcPr>
            <w:tcW w:w="6833" w:type="dxa"/>
            <w:tcBorders>
              <w:top w:val="single" w:sz="4" w:space="0" w:color="auto"/>
              <w:left w:val="single" w:sz="4" w:space="0" w:color="auto"/>
              <w:bottom w:val="single" w:sz="4" w:space="0" w:color="auto"/>
              <w:right w:val="single" w:sz="4" w:space="0" w:color="auto"/>
            </w:tcBorders>
          </w:tcPr>
          <w:p w:rsidR="001A4A5E" w:rsidRDefault="001A4A5E" w:rsidP="0032449F">
            <w:pPr>
              <w:pStyle w:val="Zawartotabeli"/>
              <w:rPr>
                <w:sz w:val="20"/>
              </w:rPr>
            </w:pPr>
            <w:r>
              <w:rPr>
                <w:sz w:val="20"/>
              </w:rPr>
              <w:t>aktualne zaświadczenie potwierdzające  uprawnienia do świadczenia poradnictwa obywatelskiego</w:t>
            </w:r>
          </w:p>
        </w:tc>
        <w:tc>
          <w:tcPr>
            <w:tcW w:w="1033"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c>
          <w:tcPr>
            <w:tcW w:w="1554" w:type="dxa"/>
            <w:tcBorders>
              <w:top w:val="single" w:sz="4" w:space="0" w:color="auto"/>
              <w:left w:val="single" w:sz="4" w:space="0" w:color="auto"/>
              <w:bottom w:val="single" w:sz="4" w:space="0" w:color="auto"/>
              <w:right w:val="single" w:sz="4" w:space="0" w:color="auto"/>
            </w:tcBorders>
          </w:tcPr>
          <w:p w:rsidR="001A4A5E" w:rsidRPr="00E4331C" w:rsidRDefault="001A4A5E" w:rsidP="0032449F">
            <w:pPr>
              <w:pStyle w:val="Zawartotabeli"/>
              <w:rPr>
                <w:sz w:val="22"/>
                <w:szCs w:val="22"/>
              </w:rPr>
            </w:pPr>
          </w:p>
        </w:tc>
      </w:tr>
    </w:tbl>
    <w:p w:rsidR="001A4A5E" w:rsidRDefault="001A4A5E" w:rsidP="001A4A5E">
      <w:pPr>
        <w:outlineLvl w:val="0"/>
      </w:pPr>
    </w:p>
    <w:p w:rsidR="001A4A5E" w:rsidRDefault="001A4A5E" w:rsidP="001A4A5E">
      <w:pPr>
        <w:outlineLvl w:val="0"/>
      </w:pPr>
    </w:p>
    <w:p w:rsidR="001A4A5E" w:rsidRDefault="001A4A5E" w:rsidP="001A4A5E">
      <w:pPr>
        <w:outlineLvl w:val="0"/>
        <w:rPr>
          <w:sz w:val="22"/>
        </w:rPr>
      </w:pPr>
      <w:r w:rsidRPr="00E4331C">
        <w:rPr>
          <w:sz w:val="22"/>
        </w:rPr>
        <w:t>OCENA KOŃCOWA</w:t>
      </w:r>
      <w:r>
        <w:rPr>
          <w:sz w:val="22"/>
        </w:rPr>
        <w:t xml:space="preserve"> </w:t>
      </w:r>
      <w:r w:rsidRPr="00DC7042">
        <w:rPr>
          <w:sz w:val="20"/>
        </w:rPr>
        <w:t>(niepotrzebne skreślić)</w:t>
      </w:r>
      <w:r w:rsidRPr="00E4331C">
        <w:rPr>
          <w:sz w:val="22"/>
        </w:rPr>
        <w:t>:</w:t>
      </w:r>
      <w:r>
        <w:rPr>
          <w:sz w:val="22"/>
        </w:rPr>
        <w:t xml:space="preserve">  1.    </w:t>
      </w:r>
      <w:r w:rsidRPr="00E4331C">
        <w:rPr>
          <w:sz w:val="22"/>
        </w:rPr>
        <w:t>Oferta spełnia wymogi formalne</w:t>
      </w:r>
      <w:r>
        <w:rPr>
          <w:sz w:val="22"/>
        </w:rPr>
        <w:t xml:space="preserve">; 2. </w:t>
      </w:r>
      <w:r w:rsidRPr="00E4331C">
        <w:rPr>
          <w:sz w:val="22"/>
        </w:rPr>
        <w:t>Oferta nie spełnia wymogów formalnych</w:t>
      </w:r>
      <w:r>
        <w:rPr>
          <w:sz w:val="22"/>
        </w:rPr>
        <w:t>;</w:t>
      </w:r>
    </w:p>
    <w:p w:rsidR="001A4A5E" w:rsidRDefault="001A4A5E" w:rsidP="001A4A5E">
      <w:pPr>
        <w:outlineLvl w:val="0"/>
        <w:rPr>
          <w:sz w:val="22"/>
        </w:rPr>
      </w:pPr>
    </w:p>
    <w:p w:rsidR="001A4A5E" w:rsidRDefault="001A4A5E" w:rsidP="001A4A5E">
      <w:pPr>
        <w:outlineLvl w:val="0"/>
        <w:rPr>
          <w:sz w:val="22"/>
        </w:rPr>
      </w:pPr>
      <w:r>
        <w:rPr>
          <w:sz w:val="22"/>
        </w:rPr>
        <w:t xml:space="preserve">Lidzbark Warmiński,                    </w:t>
      </w:r>
      <w:r>
        <w:rPr>
          <w:sz w:val="22"/>
        </w:rPr>
        <w:tab/>
      </w:r>
      <w:r>
        <w:rPr>
          <w:sz w:val="22"/>
        </w:rPr>
        <w:tab/>
      </w:r>
      <w:r>
        <w:rPr>
          <w:sz w:val="22"/>
        </w:rPr>
        <w:tab/>
      </w:r>
      <w:r>
        <w:rPr>
          <w:sz w:val="22"/>
        </w:rPr>
        <w:tab/>
        <w:t xml:space="preserve">                          </w:t>
      </w:r>
    </w:p>
    <w:p w:rsidR="001A4A5E" w:rsidRDefault="001A4A5E" w:rsidP="001A4A5E">
      <w:pPr>
        <w:outlineLvl w:val="0"/>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sidRPr="001F37AA">
        <w:rPr>
          <w:sz w:val="20"/>
        </w:rPr>
        <w:t>Podpis</w:t>
      </w:r>
      <w:r>
        <w:rPr>
          <w:sz w:val="20"/>
        </w:rPr>
        <w:t>y</w:t>
      </w:r>
      <w:r w:rsidRPr="001F37AA">
        <w:rPr>
          <w:sz w:val="20"/>
        </w:rPr>
        <w:t xml:space="preserve"> </w:t>
      </w:r>
      <w:r>
        <w:rPr>
          <w:sz w:val="20"/>
        </w:rPr>
        <w:t>członków Komisji</w:t>
      </w:r>
      <w:r w:rsidRPr="001F37AA">
        <w:rPr>
          <w:sz w:val="20"/>
        </w:rPr>
        <w:t xml:space="preserve"> </w:t>
      </w:r>
      <w:r w:rsidRPr="001F37AA">
        <w:rPr>
          <w:sz w:val="20"/>
        </w:rPr>
        <w:tab/>
      </w:r>
      <w:r w:rsidRPr="001F37AA">
        <w:rPr>
          <w:sz w:val="20"/>
        </w:rPr>
        <w:tab/>
      </w:r>
      <w:r w:rsidRPr="001F37AA">
        <w:rPr>
          <w:sz w:val="20"/>
        </w:rPr>
        <w:tab/>
        <w:t xml:space="preserve">   </w:t>
      </w:r>
      <w:r>
        <w:t xml:space="preserve">     </w:t>
      </w:r>
      <w:r>
        <w:tab/>
      </w:r>
      <w:r>
        <w:tab/>
      </w:r>
      <w:r>
        <w:tab/>
      </w:r>
    </w:p>
    <w:p w:rsidR="001A4A5E" w:rsidRPr="0067288A" w:rsidRDefault="001A4A5E" w:rsidP="001A4A5E">
      <w:pPr>
        <w:outlineLvl w:val="0"/>
        <w:rPr>
          <w:sz w:val="20"/>
        </w:rPr>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p>
    <w:p w:rsidR="001A4A5E" w:rsidRDefault="001A4A5E" w:rsidP="001A4A5E">
      <w:pPr>
        <w:pStyle w:val="Akapitzlist"/>
        <w:jc w:val="right"/>
      </w:pPr>
      <w:r>
        <w:lastRenderedPageBreak/>
        <w:t>Załącznik nr 2 do regulaminu</w:t>
      </w:r>
    </w:p>
    <w:p w:rsidR="001A4A5E" w:rsidRPr="008D36F5" w:rsidRDefault="001A4A5E" w:rsidP="001A4A5E">
      <w:pPr>
        <w:pStyle w:val="Standardowy1"/>
        <w:overflowPunct/>
        <w:autoSpaceDE/>
        <w:adjustRightInd/>
        <w:rPr>
          <w:i/>
          <w:sz w:val="20"/>
          <w:lang w:val="pl-PL"/>
        </w:rPr>
      </w:pPr>
    </w:p>
    <w:tbl>
      <w:tblPr>
        <w:tblpPr w:leftFromText="141" w:rightFromText="141" w:vertAnchor="text" w:horzAnchor="margin" w:tblpY="2303"/>
        <w:tblW w:w="978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10"/>
        <w:gridCol w:w="6700"/>
        <w:gridCol w:w="20"/>
        <w:gridCol w:w="20"/>
        <w:gridCol w:w="920"/>
        <w:gridCol w:w="1716"/>
      </w:tblGrid>
      <w:tr w:rsidR="001A4A5E" w:rsidTr="0032449F">
        <w:trPr>
          <w:tblHeader/>
        </w:trPr>
        <w:tc>
          <w:tcPr>
            <w:tcW w:w="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Heading"/>
              <w:spacing w:before="120" w:after="0"/>
              <w:ind w:left="-17" w:firstLine="2"/>
              <w:rPr>
                <w:sz w:val="20"/>
              </w:rPr>
            </w:pPr>
            <w:r>
              <w:rPr>
                <w:sz w:val="20"/>
              </w:rPr>
              <w:t>Lp.</w:t>
            </w:r>
          </w:p>
        </w:tc>
        <w:tc>
          <w:tcPr>
            <w:tcW w:w="674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Heading"/>
              <w:spacing w:before="120" w:after="0"/>
              <w:ind w:left="-17" w:firstLine="2"/>
              <w:rPr>
                <w:sz w:val="20"/>
              </w:rPr>
            </w:pPr>
            <w:r>
              <w:rPr>
                <w:sz w:val="20"/>
              </w:rPr>
              <w:t>Kryteria oceny projektu</w:t>
            </w:r>
          </w:p>
        </w:tc>
        <w:tc>
          <w:tcPr>
            <w:tcW w:w="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4A5E" w:rsidRPr="00D85156" w:rsidRDefault="001A4A5E" w:rsidP="0032449F">
            <w:pPr>
              <w:pStyle w:val="TableHeading"/>
              <w:spacing w:after="0"/>
              <w:ind w:left="-17" w:firstLine="2"/>
              <w:rPr>
                <w:sz w:val="18"/>
                <w:szCs w:val="18"/>
              </w:rPr>
            </w:pPr>
            <w:r w:rsidRPr="00D85156">
              <w:rPr>
                <w:sz w:val="18"/>
                <w:szCs w:val="18"/>
              </w:rPr>
              <w:t xml:space="preserve">  ilość punktów</w:t>
            </w:r>
          </w:p>
        </w:tc>
        <w:tc>
          <w:tcPr>
            <w:tcW w:w="17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4A5E" w:rsidRDefault="001A4A5E" w:rsidP="0032449F">
            <w:pPr>
              <w:pStyle w:val="TableHeading"/>
              <w:spacing w:before="120" w:after="0"/>
              <w:ind w:left="-17" w:firstLine="2"/>
              <w:rPr>
                <w:sz w:val="20"/>
              </w:rPr>
            </w:pPr>
            <w:r>
              <w:rPr>
                <w:sz w:val="20"/>
              </w:rPr>
              <w:t>Uwagi</w:t>
            </w:r>
          </w:p>
        </w:tc>
      </w:tr>
      <w:tr w:rsidR="001A4A5E" w:rsidTr="0032449F">
        <w:trPr>
          <w:trHeight w:val="351"/>
        </w:trPr>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rPr>
                <w:i/>
              </w:rPr>
            </w:pPr>
            <w:r>
              <w:rPr>
                <w:i/>
              </w:rPr>
              <w:t>1.</w:t>
            </w:r>
          </w:p>
        </w:tc>
        <w:tc>
          <w:tcPr>
            <w:tcW w:w="937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Contents"/>
              <w:spacing w:before="120" w:after="0"/>
              <w:ind w:left="-17" w:firstLine="2"/>
              <w:rPr>
                <w:i/>
                <w:sz w:val="20"/>
              </w:rPr>
            </w:pPr>
            <w:r>
              <w:rPr>
                <w:b/>
                <w:bCs/>
                <w:sz w:val="20"/>
              </w:rPr>
              <w:t>liczba i przygotowanie zawodowe (kwalifikacje) osób zatrudnionych do realizacji zadania</w:t>
            </w:r>
          </w:p>
        </w:tc>
      </w:tr>
      <w:tr w:rsidR="001A4A5E" w:rsidTr="0032449F">
        <w:trPr>
          <w:trHeight w:val="2116"/>
        </w:trPr>
        <w:tc>
          <w:tcPr>
            <w:tcW w:w="410" w:type="dxa"/>
            <w:vMerge/>
            <w:tcBorders>
              <w:top w:val="single" w:sz="4" w:space="0" w:color="auto"/>
              <w:left w:val="single" w:sz="4" w:space="0" w:color="auto"/>
              <w:bottom w:val="single" w:sz="4" w:space="0" w:color="auto"/>
              <w:right w:val="single" w:sz="4" w:space="0" w:color="auto"/>
            </w:tcBorders>
            <w:vAlign w:val="center"/>
          </w:tcPr>
          <w:p w:rsidR="001A4A5E" w:rsidRDefault="001A4A5E" w:rsidP="0032449F">
            <w:pPr>
              <w:ind w:left="-17" w:firstLine="2"/>
              <w:rPr>
                <w:rFonts w:eastAsia="Lucida Sans Unicode"/>
                <w:i/>
                <w:szCs w:val="20"/>
              </w:rPr>
            </w:pPr>
          </w:p>
        </w:tc>
        <w:tc>
          <w:tcPr>
            <w:tcW w:w="6700" w:type="dxa"/>
            <w:tcBorders>
              <w:top w:val="single" w:sz="4" w:space="0" w:color="auto"/>
              <w:left w:val="single" w:sz="4" w:space="0" w:color="auto"/>
              <w:right w:val="single" w:sz="4" w:space="0" w:color="auto"/>
            </w:tcBorders>
            <w:tcMar>
              <w:top w:w="0" w:type="dxa"/>
              <w:left w:w="0" w:type="dxa"/>
              <w:bottom w:w="0" w:type="dxa"/>
              <w:right w:w="0" w:type="dxa"/>
            </w:tcMar>
          </w:tcPr>
          <w:p w:rsidR="001A4A5E" w:rsidRPr="0065712D" w:rsidRDefault="001A4A5E" w:rsidP="0032449F">
            <w:pPr>
              <w:pStyle w:val="TableHeading"/>
              <w:spacing w:after="0"/>
              <w:ind w:left="-17" w:firstLine="2"/>
              <w:jc w:val="left"/>
              <w:rPr>
                <w:b w:val="0"/>
                <w:bCs w:val="0"/>
                <w:i w:val="0"/>
              </w:rPr>
            </w:pPr>
            <w:r w:rsidRPr="0065712D">
              <w:rPr>
                <w:b w:val="0"/>
                <w:bCs w:val="0"/>
                <w:i w:val="0"/>
              </w:rPr>
              <w:t>osoby udzielające pomocy</w:t>
            </w:r>
          </w:p>
          <w:p w:rsidR="001A4A5E" w:rsidRDefault="001A4A5E" w:rsidP="0032449F">
            <w:pPr>
              <w:pStyle w:val="TableHeading"/>
              <w:spacing w:after="0"/>
              <w:ind w:left="-17" w:firstLine="2"/>
              <w:jc w:val="left"/>
              <w:rPr>
                <w:b w:val="0"/>
                <w:bCs w:val="0"/>
              </w:rPr>
            </w:pPr>
          </w:p>
          <w:p w:rsidR="001A4A5E" w:rsidRDefault="001A4A5E" w:rsidP="0032449F">
            <w:pPr>
              <w:pStyle w:val="TableHeading"/>
              <w:spacing w:after="0"/>
              <w:ind w:left="-17" w:firstLine="2"/>
              <w:jc w:val="left"/>
              <w:rPr>
                <w:b w:val="0"/>
                <w:bCs w:val="0"/>
              </w:rPr>
            </w:pPr>
          </w:p>
          <w:p w:rsidR="001A4A5E" w:rsidRPr="00431E72" w:rsidRDefault="001A4A5E" w:rsidP="0032449F">
            <w:pPr>
              <w:pStyle w:val="TableHeading"/>
              <w:spacing w:after="0"/>
              <w:ind w:left="-17" w:firstLine="2"/>
              <w:jc w:val="left"/>
              <w:rPr>
                <w:b w:val="0"/>
                <w:bCs w:val="0"/>
                <w:sz w:val="20"/>
              </w:rPr>
            </w:pPr>
            <w:r w:rsidRPr="00431E72">
              <w:rPr>
                <w:b w:val="0"/>
                <w:bCs w:val="0"/>
                <w:sz w:val="20"/>
              </w:rPr>
              <w:t>(maksymalnie 2</w:t>
            </w:r>
            <w:r>
              <w:rPr>
                <w:b w:val="0"/>
                <w:bCs w:val="0"/>
                <w:sz w:val="20"/>
              </w:rPr>
              <w:t>0</w:t>
            </w:r>
            <w:r w:rsidRPr="00431E72">
              <w:rPr>
                <w:b w:val="0"/>
                <w:bCs w:val="0"/>
                <w:sz w:val="20"/>
              </w:rPr>
              <w:t xml:space="preserve"> punktów)</w:t>
            </w:r>
          </w:p>
        </w:tc>
        <w:tc>
          <w:tcPr>
            <w:tcW w:w="960" w:type="dxa"/>
            <w:gridSpan w:val="3"/>
            <w:tcBorders>
              <w:top w:val="single" w:sz="4" w:space="0" w:color="auto"/>
              <w:left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jc w:val="center"/>
              <w:rPr>
                <w:i/>
              </w:rPr>
            </w:pPr>
          </w:p>
        </w:tc>
        <w:tc>
          <w:tcPr>
            <w:tcW w:w="17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4A5E" w:rsidRDefault="001A4A5E" w:rsidP="0032449F">
            <w:pPr>
              <w:pStyle w:val="TableContents"/>
              <w:ind w:left="-17" w:firstLine="2"/>
              <w:jc w:val="center"/>
              <w:rPr>
                <w:b/>
                <w:i/>
              </w:rPr>
            </w:pPr>
          </w:p>
        </w:tc>
      </w:tr>
      <w:tr w:rsidR="001A4A5E" w:rsidTr="0032449F">
        <w:trPr>
          <w:trHeight w:val="1410"/>
        </w:trPr>
        <w:tc>
          <w:tcPr>
            <w:tcW w:w="410" w:type="dxa"/>
            <w:tcBorders>
              <w:top w:val="single" w:sz="4" w:space="0" w:color="auto"/>
              <w:left w:val="single" w:sz="4" w:space="0" w:color="auto"/>
              <w:bottom w:val="single" w:sz="4" w:space="0" w:color="auto"/>
              <w:right w:val="single" w:sz="4" w:space="0" w:color="auto"/>
            </w:tcBorders>
            <w:vAlign w:val="center"/>
          </w:tcPr>
          <w:p w:rsidR="001A4A5E" w:rsidRDefault="001A4A5E" w:rsidP="0032449F">
            <w:pPr>
              <w:ind w:left="-17" w:firstLine="2"/>
              <w:rPr>
                <w:rFonts w:eastAsia="Lucida Sans Unicode"/>
                <w:i/>
                <w:szCs w:val="20"/>
              </w:rPr>
            </w:pPr>
            <w:r>
              <w:rPr>
                <w:rFonts w:eastAsia="Lucida Sans Unicode"/>
                <w:i/>
                <w:szCs w:val="20"/>
              </w:rPr>
              <w:t>2.</w:t>
            </w:r>
          </w:p>
        </w:tc>
        <w:tc>
          <w:tcPr>
            <w:tcW w:w="6700" w:type="dxa"/>
            <w:tcBorders>
              <w:top w:val="single" w:sz="4" w:space="0" w:color="auto"/>
              <w:left w:val="single" w:sz="4" w:space="0" w:color="auto"/>
              <w:right w:val="single" w:sz="4" w:space="0" w:color="auto"/>
            </w:tcBorders>
            <w:tcMar>
              <w:top w:w="0" w:type="dxa"/>
              <w:left w:w="0" w:type="dxa"/>
              <w:bottom w:w="0" w:type="dxa"/>
              <w:right w:w="0" w:type="dxa"/>
            </w:tcMar>
          </w:tcPr>
          <w:p w:rsidR="001A4A5E" w:rsidRPr="0065712D" w:rsidRDefault="001A4A5E" w:rsidP="0032449F">
            <w:pPr>
              <w:pStyle w:val="TableHeading"/>
              <w:spacing w:after="0"/>
              <w:ind w:left="-17" w:firstLine="2"/>
              <w:jc w:val="left"/>
              <w:rPr>
                <w:b w:val="0"/>
                <w:bCs w:val="0"/>
                <w:i w:val="0"/>
                <w:sz w:val="20"/>
              </w:rPr>
            </w:pPr>
            <w:r w:rsidRPr="0065712D">
              <w:rPr>
                <w:b w:val="0"/>
                <w:bCs w:val="0"/>
                <w:i w:val="0"/>
                <w:sz w:val="20"/>
              </w:rPr>
              <w:t>pozostała kadra - wolontariusze</w:t>
            </w:r>
          </w:p>
          <w:p w:rsidR="001A4A5E" w:rsidRPr="0065712D" w:rsidRDefault="001A4A5E" w:rsidP="0032449F">
            <w:pPr>
              <w:pStyle w:val="TableHeading"/>
              <w:spacing w:after="0"/>
              <w:jc w:val="left"/>
              <w:rPr>
                <w:b w:val="0"/>
                <w:bCs w:val="0"/>
                <w:sz w:val="20"/>
              </w:rPr>
            </w:pPr>
          </w:p>
          <w:p w:rsidR="001A4A5E" w:rsidRDefault="001A4A5E" w:rsidP="0032449F">
            <w:pPr>
              <w:pStyle w:val="TableHeading"/>
              <w:spacing w:after="0"/>
              <w:jc w:val="left"/>
              <w:rPr>
                <w:b w:val="0"/>
                <w:bCs w:val="0"/>
                <w:sz w:val="20"/>
              </w:rPr>
            </w:pPr>
          </w:p>
          <w:p w:rsidR="001A4A5E" w:rsidRDefault="001A4A5E" w:rsidP="0032449F">
            <w:pPr>
              <w:pStyle w:val="TableHeading"/>
              <w:spacing w:after="0"/>
              <w:ind w:left="-17" w:firstLine="2"/>
              <w:jc w:val="left"/>
              <w:rPr>
                <w:b w:val="0"/>
                <w:bCs w:val="0"/>
                <w:sz w:val="20"/>
              </w:rPr>
            </w:pPr>
            <w:r>
              <w:rPr>
                <w:b w:val="0"/>
                <w:bCs w:val="0"/>
                <w:sz w:val="20"/>
              </w:rPr>
              <w:t>(</w:t>
            </w:r>
            <w:r w:rsidRPr="00431E72">
              <w:rPr>
                <w:b w:val="0"/>
                <w:bCs w:val="0"/>
                <w:sz w:val="20"/>
              </w:rPr>
              <w:t xml:space="preserve">maksymalnie </w:t>
            </w:r>
            <w:r>
              <w:rPr>
                <w:b w:val="0"/>
                <w:bCs w:val="0"/>
                <w:sz w:val="20"/>
              </w:rPr>
              <w:t>5</w:t>
            </w:r>
            <w:r w:rsidRPr="00431E72">
              <w:rPr>
                <w:b w:val="0"/>
                <w:bCs w:val="0"/>
                <w:sz w:val="20"/>
              </w:rPr>
              <w:t xml:space="preserve"> punktów)</w:t>
            </w:r>
          </w:p>
          <w:p w:rsidR="001A4A5E" w:rsidRPr="00413629" w:rsidRDefault="001A4A5E" w:rsidP="0032449F">
            <w:pPr>
              <w:pStyle w:val="TableHeading"/>
              <w:spacing w:after="0"/>
              <w:ind w:left="-17" w:firstLine="2"/>
              <w:jc w:val="left"/>
              <w:rPr>
                <w:b w:val="0"/>
                <w:bCs w:val="0"/>
                <w:sz w:val="20"/>
              </w:rPr>
            </w:pPr>
          </w:p>
        </w:tc>
        <w:tc>
          <w:tcPr>
            <w:tcW w:w="960" w:type="dxa"/>
            <w:gridSpan w:val="3"/>
            <w:tcBorders>
              <w:top w:val="single" w:sz="4" w:space="0" w:color="auto"/>
              <w:left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jc w:val="center"/>
              <w:rPr>
                <w:i/>
              </w:rPr>
            </w:pPr>
          </w:p>
        </w:tc>
        <w:tc>
          <w:tcPr>
            <w:tcW w:w="17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4A5E" w:rsidRDefault="001A4A5E" w:rsidP="0032449F">
            <w:pPr>
              <w:pStyle w:val="TableContents"/>
              <w:ind w:left="-17" w:firstLine="2"/>
              <w:jc w:val="center"/>
              <w:rPr>
                <w:b/>
                <w:i/>
              </w:rPr>
            </w:pPr>
          </w:p>
        </w:tc>
      </w:tr>
      <w:tr w:rsidR="001A4A5E" w:rsidTr="0032449F">
        <w:trPr>
          <w:trHeight w:val="398"/>
        </w:trPr>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pPr>
          </w:p>
          <w:p w:rsidR="001A4A5E" w:rsidRPr="008615C0" w:rsidRDefault="001A4A5E" w:rsidP="0032449F">
            <w:pPr>
              <w:pStyle w:val="TableContents"/>
              <w:ind w:left="-17" w:firstLine="2"/>
              <w:rPr>
                <w:i/>
              </w:rPr>
            </w:pPr>
            <w:r>
              <w:rPr>
                <w:i/>
              </w:rPr>
              <w:t xml:space="preserve"> 3.</w:t>
            </w:r>
          </w:p>
          <w:p w:rsidR="001A4A5E" w:rsidRPr="008615C0" w:rsidRDefault="001A4A5E" w:rsidP="0032449F">
            <w:pPr>
              <w:pStyle w:val="TableContents"/>
              <w:ind w:left="-17" w:firstLine="2"/>
              <w:rPr>
                <w:i/>
              </w:rPr>
            </w:pPr>
          </w:p>
          <w:p w:rsidR="001A4A5E" w:rsidRPr="008615C0" w:rsidRDefault="001A4A5E" w:rsidP="0032449F">
            <w:pPr>
              <w:pStyle w:val="TableContents"/>
              <w:ind w:left="-17" w:firstLine="2"/>
              <w:rPr>
                <w:i/>
              </w:rPr>
            </w:pPr>
            <w:r>
              <w:rPr>
                <w:i/>
              </w:rPr>
              <w:t xml:space="preserve"> </w:t>
            </w:r>
          </w:p>
          <w:p w:rsidR="001A4A5E" w:rsidRDefault="001A4A5E" w:rsidP="0032449F">
            <w:pPr>
              <w:pStyle w:val="TableContents"/>
              <w:ind w:left="-17" w:firstLine="2"/>
            </w:pPr>
          </w:p>
          <w:p w:rsidR="001A4A5E" w:rsidRDefault="001A4A5E" w:rsidP="0032449F">
            <w:pPr>
              <w:pStyle w:val="TableContents"/>
              <w:ind w:left="-17" w:firstLine="2"/>
            </w:pPr>
          </w:p>
        </w:tc>
        <w:tc>
          <w:tcPr>
            <w:tcW w:w="937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Pr="00452BDC" w:rsidRDefault="001A4A5E" w:rsidP="0032449F">
            <w:pPr>
              <w:pStyle w:val="TableContents"/>
              <w:spacing w:before="120" w:after="0"/>
              <w:ind w:left="-17" w:firstLine="2"/>
              <w:rPr>
                <w:b/>
                <w:sz w:val="20"/>
              </w:rPr>
            </w:pPr>
            <w:r w:rsidRPr="00BA262D">
              <w:rPr>
                <w:b/>
                <w:sz w:val="20"/>
              </w:rPr>
              <w:t>Koszty</w:t>
            </w:r>
          </w:p>
        </w:tc>
      </w:tr>
      <w:tr w:rsidR="001A4A5E" w:rsidTr="0032449F">
        <w:trPr>
          <w:trHeight w:val="1553"/>
        </w:trPr>
        <w:tc>
          <w:tcPr>
            <w:tcW w:w="410" w:type="dxa"/>
            <w:vMerge/>
            <w:tcBorders>
              <w:top w:val="single" w:sz="4" w:space="0" w:color="auto"/>
              <w:left w:val="single" w:sz="4" w:space="0" w:color="auto"/>
              <w:bottom w:val="single" w:sz="4" w:space="0" w:color="auto"/>
              <w:right w:val="single" w:sz="4" w:space="0" w:color="auto"/>
            </w:tcBorders>
            <w:vAlign w:val="center"/>
          </w:tcPr>
          <w:p w:rsidR="001A4A5E" w:rsidRDefault="001A4A5E" w:rsidP="0032449F">
            <w:pPr>
              <w:ind w:left="-17" w:firstLine="2"/>
              <w:rPr>
                <w:rFonts w:eastAsia="Lucida Sans Unicode"/>
                <w:szCs w:val="20"/>
              </w:rPr>
            </w:pPr>
          </w:p>
        </w:tc>
        <w:tc>
          <w:tcPr>
            <w:tcW w:w="6720"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1A4A5E" w:rsidRPr="004B176F" w:rsidRDefault="001A4A5E" w:rsidP="0032449F">
            <w:pPr>
              <w:pStyle w:val="TableContents"/>
              <w:spacing w:after="0"/>
              <w:ind w:left="-17" w:firstLine="2"/>
            </w:pPr>
            <w:r w:rsidRPr="004B176F">
              <w:t>udział wynagrodzeń osób udzielających pomocy do wysokości dotacji</w:t>
            </w:r>
          </w:p>
          <w:p w:rsidR="001A4A5E" w:rsidRPr="0065712D" w:rsidRDefault="001A4A5E" w:rsidP="0032449F">
            <w:pPr>
              <w:pStyle w:val="TableContents"/>
              <w:spacing w:after="0"/>
              <w:ind w:left="-17" w:firstLine="2"/>
              <w:rPr>
                <w:i/>
              </w:rPr>
            </w:pPr>
            <w:r w:rsidRPr="0065712D">
              <w:rPr>
                <w:i/>
                <w:sz w:val="20"/>
              </w:rPr>
              <w:t>(maksymalnie: 10 punktów)</w:t>
            </w:r>
          </w:p>
          <w:p w:rsidR="001A4A5E" w:rsidRPr="00452BDC" w:rsidRDefault="001A4A5E" w:rsidP="0032449F">
            <w:pPr>
              <w:pStyle w:val="TableContents"/>
              <w:spacing w:before="120"/>
              <w:ind w:left="-17" w:firstLine="2"/>
              <w:rPr>
                <w:i/>
              </w:rPr>
            </w:pPr>
            <w:r w:rsidRPr="00182A82">
              <w:t xml:space="preserve">udział innych środków finansowych w stosunku do otrzymanej dotacji </w:t>
            </w:r>
            <w:r w:rsidRPr="0065712D">
              <w:rPr>
                <w:i/>
                <w:sz w:val="20"/>
              </w:rPr>
              <w:t>(maksymalnie 5 punktów)</w:t>
            </w:r>
          </w:p>
        </w:tc>
        <w:tc>
          <w:tcPr>
            <w:tcW w:w="940"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jc w:val="center"/>
              <w:rPr>
                <w:i/>
              </w:rPr>
            </w:pPr>
          </w:p>
        </w:tc>
        <w:tc>
          <w:tcPr>
            <w:tcW w:w="17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4A5E" w:rsidRDefault="001A4A5E" w:rsidP="0032449F">
            <w:pPr>
              <w:pStyle w:val="TableContents"/>
              <w:ind w:left="-17" w:firstLine="2"/>
              <w:jc w:val="center"/>
              <w:rPr>
                <w:b/>
              </w:rPr>
            </w:pPr>
          </w:p>
        </w:tc>
      </w:tr>
      <w:tr w:rsidR="001A4A5E" w:rsidTr="0032449F">
        <w:trPr>
          <w:trHeight w:val="329"/>
        </w:trPr>
        <w:tc>
          <w:tcPr>
            <w:tcW w:w="410" w:type="dxa"/>
            <w:vMerge/>
            <w:tcBorders>
              <w:top w:val="single" w:sz="4" w:space="0" w:color="auto"/>
              <w:left w:val="single" w:sz="4" w:space="0" w:color="auto"/>
              <w:bottom w:val="single" w:sz="4" w:space="0" w:color="auto"/>
              <w:right w:val="single" w:sz="4" w:space="0" w:color="auto"/>
            </w:tcBorders>
            <w:vAlign w:val="center"/>
          </w:tcPr>
          <w:p w:rsidR="001A4A5E" w:rsidRDefault="001A4A5E" w:rsidP="0032449F">
            <w:pPr>
              <w:ind w:left="-17" w:firstLine="2"/>
              <w:rPr>
                <w:rFonts w:eastAsia="Lucida Sans Unicode"/>
                <w:szCs w:val="20"/>
              </w:rPr>
            </w:pPr>
          </w:p>
        </w:tc>
        <w:tc>
          <w:tcPr>
            <w:tcW w:w="672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Contents"/>
              <w:spacing w:before="120" w:after="0"/>
              <w:ind w:left="-17" w:firstLine="2"/>
              <w:rPr>
                <w:b/>
                <w:i/>
                <w:sz w:val="20"/>
              </w:rPr>
            </w:pPr>
            <w:r>
              <w:rPr>
                <w:b/>
                <w:sz w:val="20"/>
              </w:rPr>
              <w:t xml:space="preserve">Punktacja końcowa działy 1+2+3 </w:t>
            </w:r>
            <w:r>
              <w:rPr>
                <w:i/>
                <w:sz w:val="20"/>
              </w:rPr>
              <w:t>(maksymalnie 40 punktów)</w:t>
            </w:r>
          </w:p>
        </w:tc>
        <w:tc>
          <w:tcPr>
            <w:tcW w:w="265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4A5E" w:rsidRDefault="001A4A5E" w:rsidP="0032449F">
            <w:pPr>
              <w:pStyle w:val="TableContents"/>
              <w:ind w:left="-17" w:firstLine="2"/>
              <w:jc w:val="center"/>
            </w:pPr>
          </w:p>
        </w:tc>
      </w:tr>
    </w:tbl>
    <w:p w:rsidR="001A4A5E" w:rsidRPr="008675B6" w:rsidRDefault="001A4A5E" w:rsidP="001A4A5E">
      <w:pPr>
        <w:jc w:val="center"/>
        <w:rPr>
          <w:b/>
          <w:sz w:val="28"/>
          <w:szCs w:val="28"/>
        </w:rPr>
      </w:pPr>
      <w:r>
        <w:rPr>
          <w:b/>
          <w:sz w:val="28"/>
          <w:szCs w:val="28"/>
        </w:rPr>
        <w:t>ARKUSZ</w:t>
      </w:r>
      <w:r w:rsidRPr="008675B6">
        <w:rPr>
          <w:b/>
          <w:sz w:val="28"/>
          <w:szCs w:val="28"/>
        </w:rPr>
        <w:t xml:space="preserve"> OCENY MERYTORYCZNEJ OFERTY</w:t>
      </w:r>
    </w:p>
    <w:p w:rsidR="001A4A5E" w:rsidRDefault="001A4A5E" w:rsidP="001A4A5E"/>
    <w:p w:rsidR="001A4A5E" w:rsidRDefault="001A4A5E" w:rsidP="001A4A5E">
      <w:r>
        <w:t xml:space="preserve">Nazwa oferenta: </w:t>
      </w:r>
      <w:r>
        <w:rPr>
          <w:sz w:val="22"/>
        </w:rPr>
        <w:t>………………………………………………………………………………………</w:t>
      </w:r>
    </w:p>
    <w:p w:rsidR="001A4A5E" w:rsidRDefault="001A4A5E" w:rsidP="001A4A5E">
      <w:r>
        <w:t xml:space="preserve">  </w:t>
      </w:r>
    </w:p>
    <w:p w:rsidR="001A4A5E" w:rsidRPr="00B065B0" w:rsidRDefault="001A4A5E" w:rsidP="001A4A5E">
      <w:pPr>
        <w:jc w:val="both"/>
      </w:pPr>
      <w:r>
        <w:t>Tytuł projektu: „P</w:t>
      </w:r>
      <w:r w:rsidRPr="00B065B0">
        <w:t xml:space="preserve">rowadzenie w </w:t>
      </w:r>
      <w:r>
        <w:t>2024</w:t>
      </w:r>
      <w:r w:rsidRPr="00B065B0">
        <w:t xml:space="preserve"> roku jednego punktu nieodpłatnej pomocy prawnej </w:t>
      </w:r>
      <w:r>
        <w:t xml:space="preserve">oraz świadczenia nieodpłatnego poradnictwa obywatelskiego </w:t>
      </w:r>
      <w:r w:rsidRPr="00B065B0">
        <w:t>w Ornecie przez organizację pozarządową prowadzącą działalność pożytku publicznego</w:t>
      </w:r>
      <w:r>
        <w:t>”</w:t>
      </w:r>
    </w:p>
    <w:p w:rsidR="001A4A5E" w:rsidRPr="005531E2" w:rsidRDefault="001A4A5E" w:rsidP="001A4A5E">
      <w:pPr>
        <w:ind w:left="708"/>
        <w:rPr>
          <w:sz w:val="16"/>
          <w:szCs w:val="16"/>
        </w:rPr>
      </w:pPr>
    </w:p>
    <w:p w:rsidR="001A4A5E" w:rsidRPr="0070015D" w:rsidRDefault="001A4A5E" w:rsidP="001A4A5E"/>
    <w:p w:rsidR="001A4A5E" w:rsidRPr="00413629" w:rsidRDefault="001A4A5E" w:rsidP="001A4A5E">
      <w:r w:rsidRPr="00413629">
        <w:t xml:space="preserve">Dofinansowanie mogą otrzymać podmioty, które w żadnym z </w:t>
      </w:r>
      <w:r>
        <w:t>trzech</w:t>
      </w:r>
      <w:r w:rsidRPr="00413629">
        <w:t xml:space="preserve"> w/w kryteriów nie otrzymała oceny  0 punktów.</w:t>
      </w: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pPr>
        <w:rPr>
          <w:sz w:val="16"/>
          <w:szCs w:val="16"/>
        </w:rPr>
      </w:pPr>
    </w:p>
    <w:p w:rsidR="001A4A5E" w:rsidRDefault="001A4A5E" w:rsidP="001A4A5E">
      <w:r>
        <w:t>L</w:t>
      </w:r>
      <w:r w:rsidRPr="009E3EE6">
        <w:t>idzbark Warmiński,</w:t>
      </w:r>
      <w:r>
        <w:t xml:space="preserve">               </w:t>
      </w:r>
      <w:r>
        <w:tab/>
      </w:r>
      <w:r>
        <w:tab/>
      </w:r>
      <w:r>
        <w:tab/>
      </w:r>
      <w:r>
        <w:rPr>
          <w:sz w:val="16"/>
          <w:szCs w:val="16"/>
        </w:rPr>
        <w:t xml:space="preserve">……………………………………………………. </w:t>
      </w:r>
      <w:r>
        <w:t xml:space="preserve"> </w:t>
      </w:r>
    </w:p>
    <w:p w:rsidR="001A4A5E" w:rsidRPr="00140AB0" w:rsidRDefault="001A4A5E" w:rsidP="001A4A5E">
      <w:pPr>
        <w:ind w:left="4956" w:firstLine="708"/>
        <w:rPr>
          <w:sz w:val="16"/>
          <w:szCs w:val="16"/>
        </w:rPr>
      </w:pPr>
      <w:r>
        <w:rPr>
          <w:sz w:val="20"/>
          <w:szCs w:val="20"/>
        </w:rPr>
        <w:t>Podpis Członków</w:t>
      </w:r>
      <w:r w:rsidRPr="0070015D">
        <w:rPr>
          <w:sz w:val="20"/>
          <w:szCs w:val="20"/>
        </w:rPr>
        <w:t xml:space="preserve"> Komisji</w:t>
      </w:r>
    </w:p>
    <w:p w:rsidR="001A4A5E" w:rsidRDefault="001A4A5E"/>
    <w:sectPr w:rsidR="001A4A5E" w:rsidSect="00E52128">
      <w:footerReference w:type="even"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B" w:rsidRDefault="00437DAE" w:rsidP="00E521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83B8B" w:rsidRDefault="00437DAE" w:rsidP="005013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B" w:rsidRDefault="00437DAE" w:rsidP="00E521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rsidR="00083B8B" w:rsidRDefault="00437DAE" w:rsidP="00501337">
    <w:pPr>
      <w:pStyle w:val="Stopka"/>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7F60"/>
    <w:multiLevelType w:val="hybridMultilevel"/>
    <w:tmpl w:val="3C726D5E"/>
    <w:lvl w:ilvl="0" w:tplc="009CC39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0C13D3"/>
    <w:multiLevelType w:val="hybridMultilevel"/>
    <w:tmpl w:val="986624A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4340320F"/>
    <w:multiLevelType w:val="hybridMultilevel"/>
    <w:tmpl w:val="86922012"/>
    <w:lvl w:ilvl="0" w:tplc="F7FAC098">
      <w:start w:val="1"/>
      <w:numFmt w:val="lowerLetter"/>
      <w:lvlText w:val="%1)"/>
      <w:lvlJc w:val="left"/>
      <w:pPr>
        <w:tabs>
          <w:tab w:val="num" w:pos="567"/>
        </w:tabs>
        <w:ind w:left="851"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44860C26"/>
    <w:multiLevelType w:val="hybridMultilevel"/>
    <w:tmpl w:val="38B6201E"/>
    <w:lvl w:ilvl="0" w:tplc="13B8DF8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E640EAC0">
      <w:start w:val="1"/>
      <w:numFmt w:val="lowerLetter"/>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51BF508C"/>
    <w:multiLevelType w:val="hybridMultilevel"/>
    <w:tmpl w:val="C00E90AC"/>
    <w:lvl w:ilvl="0" w:tplc="F3FE1A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29A2629"/>
    <w:multiLevelType w:val="hybridMultilevel"/>
    <w:tmpl w:val="CA9C709E"/>
    <w:lvl w:ilvl="0" w:tplc="BC4E7E88">
      <w:start w:val="1"/>
      <w:numFmt w:val="decimal"/>
      <w:lvlText w:val="%1)"/>
      <w:lvlJc w:val="left"/>
      <w:pPr>
        <w:tabs>
          <w:tab w:val="num" w:pos="720"/>
        </w:tabs>
        <w:ind w:left="720" w:hanging="360"/>
      </w:pPr>
      <w:rPr>
        <w:rFonts w:cs="Times New Roman" w:hint="default"/>
        <w:b w:val="0"/>
      </w:rPr>
    </w:lvl>
    <w:lvl w:ilvl="1" w:tplc="E8B891A4">
      <w:start w:val="1"/>
      <w:numFmt w:val="decimal"/>
      <w:lvlText w:val="%2)"/>
      <w:lvlJc w:val="left"/>
      <w:pPr>
        <w:tabs>
          <w:tab w:val="num" w:pos="1440"/>
        </w:tabs>
        <w:ind w:left="1440" w:hanging="360"/>
      </w:pPr>
      <w:rPr>
        <w:rFonts w:ascii="Times New Roman" w:eastAsia="Times New Roman" w:hAnsi="Times New Roman" w:cs="Times New Roman"/>
        <w:u w:val="none"/>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5ACD2893"/>
    <w:multiLevelType w:val="hybridMultilevel"/>
    <w:tmpl w:val="74520122"/>
    <w:lvl w:ilvl="0" w:tplc="330A87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63626B"/>
    <w:rsid w:val="00042DAE"/>
    <w:rsid w:val="001A4A5E"/>
    <w:rsid w:val="003630A0"/>
    <w:rsid w:val="00437DAE"/>
    <w:rsid w:val="0063626B"/>
    <w:rsid w:val="006A512E"/>
    <w:rsid w:val="006B3BC2"/>
    <w:rsid w:val="00972861"/>
    <w:rsid w:val="009A00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626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3626B"/>
    <w:pPr>
      <w:tabs>
        <w:tab w:val="center" w:pos="4536"/>
        <w:tab w:val="right" w:pos="9072"/>
      </w:tabs>
    </w:pPr>
  </w:style>
  <w:style w:type="character" w:customStyle="1" w:styleId="StopkaZnak">
    <w:name w:val="Stopka Znak"/>
    <w:basedOn w:val="Domylnaczcionkaakapitu"/>
    <w:link w:val="Stopka"/>
    <w:rsid w:val="0063626B"/>
    <w:rPr>
      <w:rFonts w:ascii="Times New Roman" w:eastAsia="Calibri" w:hAnsi="Times New Roman" w:cs="Times New Roman"/>
      <w:sz w:val="24"/>
      <w:szCs w:val="24"/>
      <w:lang w:eastAsia="pl-PL"/>
    </w:rPr>
  </w:style>
  <w:style w:type="character" w:styleId="Numerstrony">
    <w:name w:val="page number"/>
    <w:basedOn w:val="Domylnaczcionkaakapitu"/>
    <w:rsid w:val="0063626B"/>
    <w:rPr>
      <w:rFonts w:cs="Times New Roman"/>
    </w:rPr>
  </w:style>
  <w:style w:type="paragraph" w:customStyle="1" w:styleId="ListParagraph">
    <w:name w:val="List Paragraph"/>
    <w:basedOn w:val="Normalny"/>
    <w:rsid w:val="0063626B"/>
    <w:pPr>
      <w:ind w:left="720"/>
      <w:contextualSpacing/>
    </w:pPr>
  </w:style>
  <w:style w:type="paragraph" w:styleId="Akapitzlist">
    <w:name w:val="List Paragraph"/>
    <w:basedOn w:val="Normalny"/>
    <w:uiPriority w:val="34"/>
    <w:qFormat/>
    <w:rsid w:val="001A4A5E"/>
    <w:pPr>
      <w:ind w:left="720"/>
      <w:contextualSpacing/>
    </w:pPr>
    <w:rPr>
      <w:rFonts w:eastAsiaTheme="minorHAnsi" w:cstheme="minorBidi"/>
      <w:szCs w:val="22"/>
      <w:lang w:eastAsia="en-US"/>
    </w:rPr>
  </w:style>
  <w:style w:type="paragraph" w:customStyle="1" w:styleId="Zawartotabeli">
    <w:name w:val="Zawartość tabeli"/>
    <w:basedOn w:val="Normalny"/>
    <w:rsid w:val="001A4A5E"/>
    <w:pPr>
      <w:widowControl w:val="0"/>
      <w:suppressLineNumbers/>
      <w:suppressAutoHyphens/>
    </w:pPr>
    <w:rPr>
      <w:rFonts w:eastAsia="Lucida Sans Unicode"/>
      <w:szCs w:val="20"/>
      <w:lang w:eastAsia="en-US"/>
    </w:rPr>
  </w:style>
  <w:style w:type="paragraph" w:customStyle="1" w:styleId="Nagwektabeli">
    <w:name w:val="Nagłówek tabeli"/>
    <w:basedOn w:val="Zawartotabeli"/>
    <w:rsid w:val="001A4A5E"/>
    <w:pPr>
      <w:jc w:val="center"/>
    </w:pPr>
    <w:rPr>
      <w:b/>
      <w:bCs/>
      <w:i/>
      <w:iCs/>
    </w:rPr>
  </w:style>
  <w:style w:type="paragraph" w:customStyle="1" w:styleId="Standardowy1">
    <w:name w:val="Standardowy1"/>
    <w:rsid w:val="001A4A5E"/>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pl-PL"/>
    </w:rPr>
  </w:style>
  <w:style w:type="paragraph" w:customStyle="1" w:styleId="TableHeading">
    <w:name w:val="Table Heading"/>
    <w:basedOn w:val="TableContents"/>
    <w:rsid w:val="001A4A5E"/>
    <w:pPr>
      <w:jc w:val="center"/>
    </w:pPr>
    <w:rPr>
      <w:b/>
      <w:bCs/>
      <w:i/>
      <w:iCs/>
    </w:rPr>
  </w:style>
  <w:style w:type="paragraph" w:customStyle="1" w:styleId="TableContents">
    <w:name w:val="Table Contents"/>
    <w:basedOn w:val="Tekstpodstawowy"/>
    <w:rsid w:val="001A4A5E"/>
    <w:pPr>
      <w:widowControl w:val="0"/>
      <w:suppressLineNumbers/>
      <w:suppressAutoHyphens/>
    </w:pPr>
    <w:rPr>
      <w:rFonts w:eastAsia="Lucida Sans Unicode"/>
      <w:szCs w:val="20"/>
    </w:rPr>
  </w:style>
  <w:style w:type="paragraph" w:styleId="Tekstpodstawowy">
    <w:name w:val="Body Text"/>
    <w:basedOn w:val="Normalny"/>
    <w:link w:val="TekstpodstawowyZnak"/>
    <w:uiPriority w:val="99"/>
    <w:semiHidden/>
    <w:unhideWhenUsed/>
    <w:rsid w:val="001A4A5E"/>
    <w:pPr>
      <w:spacing w:after="120"/>
    </w:pPr>
  </w:style>
  <w:style w:type="character" w:customStyle="1" w:styleId="TekstpodstawowyZnak">
    <w:name w:val="Tekst podstawowy Znak"/>
    <w:basedOn w:val="Domylnaczcionkaakapitu"/>
    <w:link w:val="Tekstpodstawowy"/>
    <w:uiPriority w:val="99"/>
    <w:semiHidden/>
    <w:rsid w:val="001A4A5E"/>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1971</Words>
  <Characters>11831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Drozdowska</dc:creator>
  <cp:lastModifiedBy>Anna Drozdowska</cp:lastModifiedBy>
  <cp:revision>4</cp:revision>
  <dcterms:created xsi:type="dcterms:W3CDTF">2023-10-12T08:48:00Z</dcterms:created>
  <dcterms:modified xsi:type="dcterms:W3CDTF">2023-10-12T09:05:00Z</dcterms:modified>
</cp:coreProperties>
</file>