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662062">
        <w:rPr>
          <w:rFonts w:ascii="Tahoma" w:hAnsi="Tahoma" w:cs="Tahoma"/>
          <w:bCs/>
          <w:sz w:val="20"/>
          <w:szCs w:val="20"/>
        </w:rPr>
        <w:t>3</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662062">
        <w:rPr>
          <w:rFonts w:ascii="Tahoma" w:hAnsi="Tahoma" w:cs="Tahoma"/>
          <w:noProof w:val="0"/>
          <w:sz w:val="20"/>
          <w:szCs w:val="20"/>
          <w:lang w:val="pl-PL"/>
        </w:rPr>
        <w:t xml:space="preserve">Listopad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3050CC" w:rsidP="003D1961">
      <w:pPr>
        <w:spacing w:line="360" w:lineRule="auto"/>
        <w:jc w:val="both"/>
        <w:rPr>
          <w:rFonts w:ascii="Tahoma" w:hAnsi="Tahoma" w:cs="Tahoma"/>
          <w:noProof w:val="0"/>
          <w:sz w:val="20"/>
          <w:szCs w:val="20"/>
          <w:lang w:val="pl-PL"/>
        </w:rPr>
      </w:pPr>
      <w:r w:rsidRPr="003050CC">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662062" w:rsidRPr="00E35E84" w:rsidRDefault="00662062"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3050CC" w:rsidP="003D1961">
      <w:pPr>
        <w:spacing w:line="360" w:lineRule="auto"/>
        <w:rPr>
          <w:rFonts w:ascii="Tahoma" w:hAnsi="Tahoma" w:cs="Tahoma"/>
          <w:sz w:val="20"/>
          <w:szCs w:val="20"/>
          <w:lang w:val="pl-PL"/>
        </w:rPr>
      </w:pPr>
      <w:r w:rsidRPr="003050CC">
        <w:rPr>
          <w:lang w:val="pl-PL"/>
        </w:rPr>
        <w:pict>
          <v:shape id="_x0000_s1027" type="#_x0000_t202" style="position:absolute;margin-left:0;margin-top:0;width:459pt;height:32.1pt;z-index:251665408" fillcolor="#ddd">
            <v:textbox style="mso-next-textbox:#_x0000_s1027;mso-fit-shape-to-text:t">
              <w:txbxContent>
                <w:p w:rsidR="00662062" w:rsidRPr="00E928C1" w:rsidRDefault="00662062"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662062">
        <w:rPr>
          <w:rFonts w:ascii="Tahoma" w:hAnsi="Tahoma" w:cs="Tahoma"/>
          <w:b/>
          <w:bCs/>
          <w:sz w:val="20"/>
          <w:szCs w:val="20"/>
          <w:lang w:val="pl-PL"/>
        </w:rPr>
        <w:t>3</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3050CC" w:rsidP="003D1961">
      <w:pPr>
        <w:spacing w:line="360" w:lineRule="auto"/>
        <w:rPr>
          <w:rFonts w:ascii="Tahoma" w:hAnsi="Tahoma" w:cs="Tahoma"/>
          <w:noProof w:val="0"/>
          <w:sz w:val="20"/>
          <w:szCs w:val="20"/>
          <w:lang w:val="pl-PL"/>
        </w:rPr>
      </w:pPr>
      <w:r w:rsidRPr="003050CC">
        <w:rPr>
          <w:lang w:val="pl-PL"/>
        </w:rPr>
        <w:pict>
          <v:shape id="_x0000_s1028" type="#_x0000_t202" style="position:absolute;margin-left:0;margin-top:2.8pt;width:459pt;height:20pt;z-index:251660288" fillcolor="#ddd">
            <v:textbox style="mso-fit-shape-to-text:t">
              <w:txbxContent>
                <w:p w:rsidR="00662062" w:rsidRPr="00EE0E89" w:rsidRDefault="00662062"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Pr="00B513C9">
        <w:rPr>
          <w:rFonts w:ascii="Tahoma" w:hAnsi="Tahoma" w:cs="Tahoma"/>
          <w:noProof w:val="0"/>
          <w:sz w:val="20"/>
          <w:szCs w:val="20"/>
          <w:lang w:val="pl-PL"/>
        </w:rPr>
        <w:t xml:space="preserve"> </w:t>
      </w:r>
      <w:r w:rsidR="00B513C9" w:rsidRPr="00B513C9">
        <w:rPr>
          <w:rFonts w:ascii="Tahoma" w:hAnsi="Tahoma" w:cs="Tahoma"/>
          <w:sz w:val="20"/>
          <w:szCs w:val="20"/>
        </w:rPr>
        <w:t xml:space="preserve"> </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694DED">
        <w:rPr>
          <w:rFonts w:ascii="Tahoma" w:hAnsi="Tahoma" w:cs="Tahoma"/>
          <w:sz w:val="20"/>
          <w:szCs w:val="20"/>
        </w:rPr>
        <w:t>16.11</w:t>
      </w:r>
      <w:r w:rsidR="00E25622">
        <w:rPr>
          <w:rFonts w:ascii="Tahoma" w:hAnsi="Tahoma" w:cs="Tahoma"/>
          <w:sz w:val="20"/>
          <w:szCs w:val="20"/>
        </w:rPr>
        <w:t>.2017r.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3050CC"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3050CC">
        <w:rPr>
          <w:lang w:val="pl-PL"/>
        </w:rPr>
        <w:pict>
          <v:shape id="_x0000_s1029" type="#_x0000_t202" style="position:absolute;left:0;text-align:left;margin-left:-2.7pt;margin-top:3.1pt;width:459pt;height:18.75pt;z-index:251648000" fillcolor="#ddd">
            <v:textbox>
              <w:txbxContent>
                <w:p w:rsidR="00662062" w:rsidRPr="00EE0E89" w:rsidRDefault="00662062">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3050CC" w:rsidP="00CD72B8">
      <w:pPr>
        <w:spacing w:line="360" w:lineRule="auto"/>
        <w:jc w:val="both"/>
        <w:rPr>
          <w:rFonts w:ascii="Tahoma" w:hAnsi="Tahoma" w:cs="Tahoma"/>
          <w:b/>
          <w:bCs/>
          <w:noProof w:val="0"/>
          <w:sz w:val="20"/>
          <w:szCs w:val="20"/>
          <w:lang w:val="pl-PL"/>
        </w:rPr>
      </w:pPr>
      <w:r w:rsidRPr="003050CC">
        <w:rPr>
          <w:lang w:val="pl-PL"/>
        </w:rPr>
        <w:pict>
          <v:shape id="_x0000_s1030" type="#_x0000_t202" style="position:absolute;left:0;text-align:left;margin-left:0;margin-top:1.8pt;width:459pt;height:32.1pt;z-index:251661312" fillcolor="#ddd">
            <v:textbox style="mso-fit-shape-to-text:t">
              <w:txbxContent>
                <w:p w:rsidR="00662062" w:rsidRPr="00160001" w:rsidRDefault="00662062"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Default="00EA502B" w:rsidP="004F0FBB">
      <w:pPr>
        <w:spacing w:line="360" w:lineRule="auto"/>
        <w:rPr>
          <w:rFonts w:ascii="Tahoma" w:hAnsi="Tahoma" w:cs="Tahoma"/>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4F0FBB">
        <w:rPr>
          <w:rFonts w:ascii="Tahoma" w:hAnsi="Tahoma" w:cs="Tahoma"/>
          <w:sz w:val="20"/>
          <w:szCs w:val="20"/>
        </w:rPr>
        <w:t>„</w:t>
      </w:r>
      <w:r w:rsidR="00850E5D" w:rsidRPr="004F0FBB">
        <w:rPr>
          <w:rFonts w:ascii="Tahoma" w:hAnsi="Tahoma" w:cs="Tahoma"/>
          <w:sz w:val="20"/>
          <w:szCs w:val="20"/>
        </w:rPr>
        <w:t>Kompleksowa modernizacja energetyczna budynków użyteczności publicznej Powiatu Lidzbarskiego“</w:t>
      </w:r>
      <w:r w:rsidR="004F0FBB">
        <w:rPr>
          <w:rFonts w:ascii="Tahoma" w:hAnsi="Tahoma" w:cs="Tahoma"/>
          <w:sz w:val="20"/>
          <w:szCs w:val="20"/>
        </w:rPr>
        <w:t>obejmująca nw. budynki:</w:t>
      </w:r>
    </w:p>
    <w:p w:rsidR="004F0FBB" w:rsidRDefault="004F0FBB" w:rsidP="004F0FBB">
      <w:pPr>
        <w:spacing w:line="360" w:lineRule="auto"/>
        <w:rPr>
          <w:rFonts w:ascii="Tahoma" w:hAnsi="Tahoma" w:cs="Tahoma"/>
          <w:i/>
          <w:iCs/>
          <w:sz w:val="20"/>
          <w:szCs w:val="20"/>
        </w:rPr>
      </w:pPr>
      <w:r>
        <w:rPr>
          <w:rFonts w:ascii="Tahoma" w:hAnsi="Tahoma" w:cs="Tahoma"/>
          <w:sz w:val="20"/>
          <w:szCs w:val="20"/>
        </w:rPr>
        <w:t xml:space="preserve">1. </w:t>
      </w:r>
      <w:r w:rsidRPr="004F0FBB">
        <w:rPr>
          <w:rFonts w:ascii="Tahoma" w:hAnsi="Tahoma" w:cs="Tahoma"/>
          <w:i/>
          <w:iCs/>
          <w:sz w:val="20"/>
          <w:szCs w:val="20"/>
        </w:rPr>
        <w:t>Zespół Szkół i Placówek Oświatowych w Lidzbarku Warmińskim (ul.  Wierzbickiego 3A)</w:t>
      </w:r>
      <w:r>
        <w:rPr>
          <w:rFonts w:ascii="Tahoma" w:hAnsi="Tahoma" w:cs="Tahoma"/>
          <w:i/>
          <w:iCs/>
          <w:sz w:val="20"/>
          <w:szCs w:val="20"/>
        </w:rPr>
        <w:t>,</w:t>
      </w:r>
    </w:p>
    <w:p w:rsidR="004F0FBB" w:rsidRDefault="004F0FBB" w:rsidP="004F0FBB">
      <w:pPr>
        <w:spacing w:line="360" w:lineRule="auto"/>
        <w:rPr>
          <w:rFonts w:ascii="Tahoma" w:hAnsi="Tahoma" w:cs="Tahoma"/>
          <w:i/>
          <w:iCs/>
          <w:sz w:val="20"/>
          <w:szCs w:val="20"/>
        </w:rPr>
      </w:pPr>
      <w:r>
        <w:rPr>
          <w:rFonts w:ascii="Tahoma" w:hAnsi="Tahoma" w:cs="Tahoma"/>
          <w:i/>
          <w:iCs/>
          <w:sz w:val="20"/>
          <w:szCs w:val="20"/>
        </w:rPr>
        <w:t xml:space="preserve">2. </w:t>
      </w:r>
      <w:r w:rsidRPr="004F0FBB">
        <w:rPr>
          <w:rFonts w:ascii="Tahoma" w:hAnsi="Tahoma" w:cs="Tahoma"/>
          <w:i/>
          <w:iCs/>
          <w:sz w:val="20"/>
          <w:szCs w:val="20"/>
        </w:rPr>
        <w:t>Specjalny Ośrodek Szkolno-Wychowawczy w Lidzbarku Warmińskim (ul. Szkolna 3)</w:t>
      </w:r>
      <w:r>
        <w:rPr>
          <w:rFonts w:ascii="Tahoma" w:hAnsi="Tahoma" w:cs="Tahoma"/>
          <w:i/>
          <w:iCs/>
          <w:sz w:val="20"/>
          <w:szCs w:val="20"/>
        </w:rPr>
        <w:t>,</w:t>
      </w:r>
    </w:p>
    <w:p w:rsidR="004F0FBB" w:rsidRDefault="00694DED" w:rsidP="004F0FBB">
      <w:pPr>
        <w:spacing w:line="360" w:lineRule="auto"/>
        <w:rPr>
          <w:rFonts w:ascii="Tahoma" w:hAnsi="Tahoma" w:cs="Tahoma"/>
          <w:bCs/>
          <w:sz w:val="20"/>
          <w:szCs w:val="20"/>
        </w:rPr>
      </w:pPr>
      <w:r>
        <w:rPr>
          <w:rFonts w:ascii="Tahoma" w:hAnsi="Tahoma" w:cs="Tahoma"/>
          <w:i/>
          <w:iCs/>
          <w:sz w:val="20"/>
          <w:szCs w:val="20"/>
        </w:rPr>
        <w:t>3</w:t>
      </w:r>
      <w:r w:rsidR="00B1466A">
        <w:rPr>
          <w:rFonts w:ascii="Tahoma" w:hAnsi="Tahoma" w:cs="Tahoma"/>
          <w:i/>
          <w:iCs/>
          <w:sz w:val="20"/>
          <w:szCs w:val="20"/>
        </w:rPr>
        <w:t xml:space="preserve">. </w:t>
      </w:r>
      <w:r w:rsidR="004F0FBB" w:rsidRPr="004F0FBB">
        <w:rPr>
          <w:rFonts w:ascii="Tahoma" w:hAnsi="Tahoma" w:cs="Tahoma"/>
          <w:i/>
          <w:iCs/>
          <w:sz w:val="20"/>
          <w:szCs w:val="20"/>
        </w:rPr>
        <w:t xml:space="preserve">Budynek administracyjny w Lidzbarku Warmińskim (ul. </w:t>
      </w:r>
      <w:r w:rsidR="004F0FBB" w:rsidRPr="004F0FBB">
        <w:rPr>
          <w:rFonts w:ascii="Tahoma" w:hAnsi="Tahoma" w:cs="Tahoma"/>
          <w:bCs/>
          <w:sz w:val="20"/>
          <w:szCs w:val="20"/>
        </w:rPr>
        <w:t>Wyszyńskiego 20)</w:t>
      </w:r>
      <w:r w:rsidR="004F0FBB">
        <w:rPr>
          <w:rFonts w:ascii="Tahoma" w:hAnsi="Tahoma" w:cs="Tahoma"/>
          <w:bCs/>
          <w:sz w:val="20"/>
          <w:szCs w:val="20"/>
        </w:rPr>
        <w:t>,</w:t>
      </w:r>
    </w:p>
    <w:p w:rsidR="00B1466A" w:rsidRPr="00B1466A" w:rsidRDefault="00B1466A" w:rsidP="004F0FBB">
      <w:pPr>
        <w:spacing w:line="360" w:lineRule="auto"/>
        <w:rPr>
          <w:rFonts w:ascii="Tahoma" w:hAnsi="Tahoma" w:cs="Tahoma"/>
          <w:i/>
          <w:iCs/>
          <w:sz w:val="20"/>
          <w:szCs w:val="20"/>
        </w:rPr>
      </w:pPr>
    </w:p>
    <w:p w:rsidR="00324AD8" w:rsidRPr="004F0FBB" w:rsidRDefault="00321BD9" w:rsidP="004F0FBB">
      <w:pPr>
        <w:pStyle w:val="Akapitzlist3"/>
        <w:widowControl w:val="0"/>
        <w:spacing w:after="0" w:line="360" w:lineRule="auto"/>
        <w:ind w:left="0"/>
        <w:jc w:val="both"/>
        <w:rPr>
          <w:rFonts w:ascii="Tahoma" w:hAnsi="Tahoma" w:cs="Tahoma"/>
        </w:rPr>
      </w:pPr>
      <w:r w:rsidRPr="004F0FBB">
        <w:rPr>
          <w:rFonts w:ascii="Tahoma" w:hAnsi="Tahoma" w:cs="Tahoma"/>
        </w:rPr>
        <w:t xml:space="preserve">5.2. Zakres zamówienia </w:t>
      </w:r>
      <w:r w:rsidR="00F9575F" w:rsidRPr="004F0FBB">
        <w:rPr>
          <w:rFonts w:ascii="Tahoma" w:hAnsi="Tahoma" w:cs="Tahoma"/>
        </w:rPr>
        <w:t xml:space="preserve">podzielono na </w:t>
      </w:r>
      <w:r w:rsidR="00694DED">
        <w:rPr>
          <w:rFonts w:ascii="Tahoma" w:hAnsi="Tahoma" w:cs="Tahoma"/>
        </w:rPr>
        <w:t xml:space="preserve">trzy </w:t>
      </w:r>
      <w:r w:rsidR="00850E5D" w:rsidRPr="004F0FBB">
        <w:rPr>
          <w:rFonts w:ascii="Tahoma" w:hAnsi="Tahoma" w:cs="Tahoma"/>
        </w:rPr>
        <w:t>części</w:t>
      </w:r>
      <w:r w:rsidR="00324AD8" w:rsidRPr="004F0FBB">
        <w:rPr>
          <w:rFonts w:ascii="Tahoma" w:hAnsi="Tahoma" w:cs="Tahoma"/>
        </w:rPr>
        <w:t>:</w:t>
      </w:r>
    </w:p>
    <w:p w:rsidR="004831D7" w:rsidRDefault="00127236" w:rsidP="00850E5D">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w:t>
      </w:r>
      <w:r w:rsidR="00850E5D" w:rsidRPr="00850E5D">
        <w:rPr>
          <w:rFonts w:ascii="Arial" w:hAnsi="Arial" w:cs="Arial"/>
          <w:b/>
          <w:sz w:val="20"/>
          <w:szCs w:val="20"/>
        </w:rPr>
        <w:t xml:space="preserve"> </w:t>
      </w:r>
      <w:r w:rsidR="00850E5D" w:rsidRPr="00850E5D">
        <w:rPr>
          <w:rFonts w:ascii="Tahoma" w:hAnsi="Tahoma" w:cs="Tahoma"/>
          <w:b/>
          <w:sz w:val="20"/>
          <w:szCs w:val="20"/>
        </w:rPr>
        <w:t>Specjalny Ośrodek Szkolno-Wychowawczy w Lidzbarku Warmińskim</w:t>
      </w:r>
      <w:r w:rsidR="00A4782F">
        <w:rPr>
          <w:rFonts w:ascii="Tahoma" w:hAnsi="Tahoma" w:cs="Tahoma"/>
          <w:b/>
          <w:sz w:val="20"/>
          <w:szCs w:val="20"/>
        </w:rPr>
        <w:t xml:space="preserve"> </w:t>
      </w:r>
    </w:p>
    <w:p w:rsidR="001A05AC" w:rsidRDefault="001A05AC" w:rsidP="00850E5D">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naprawa kominów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54401C" w:rsidRPr="0054401C" w:rsidRDefault="0054401C" w:rsidP="0054401C">
      <w:pPr>
        <w:pStyle w:val="Akapitzlist"/>
        <w:numPr>
          <w:ilvl w:val="0"/>
          <w:numId w:val="28"/>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1A05AC" w:rsidRDefault="001A05AC" w:rsidP="00850E5D">
      <w:pPr>
        <w:autoSpaceDE w:val="0"/>
        <w:adjustRightInd w:val="0"/>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sidRPr="00850E5D">
        <w:rPr>
          <w:rFonts w:ascii="Tahoma" w:hAnsi="Tahoma" w:cs="Tahoma"/>
          <w:b/>
          <w:bCs/>
          <w:spacing w:val="40"/>
          <w:sz w:val="20"/>
          <w:szCs w:val="20"/>
        </w:rPr>
        <w:t>2)</w:t>
      </w:r>
      <w:r>
        <w:rPr>
          <w:rFonts w:ascii="Tahoma" w:hAnsi="Tahoma" w:cs="Tahoma"/>
          <w:b/>
          <w:bCs/>
          <w:spacing w:val="40"/>
          <w:sz w:val="20"/>
          <w:szCs w:val="20"/>
        </w:rPr>
        <w:t>Część II</w:t>
      </w:r>
      <w:r w:rsidRPr="00850E5D">
        <w:rPr>
          <w:rFonts w:ascii="Tahoma" w:hAnsi="Tahoma" w:cs="Tahoma"/>
          <w:sz w:val="20"/>
          <w:szCs w:val="20"/>
        </w:rPr>
        <w:t xml:space="preserve"> - </w:t>
      </w:r>
      <w:r w:rsidRPr="00850E5D">
        <w:rPr>
          <w:rFonts w:ascii="Tahoma" w:hAnsi="Tahoma" w:cs="Tahoma"/>
          <w:b/>
          <w:sz w:val="20"/>
          <w:szCs w:val="20"/>
        </w:rPr>
        <w:t>Zespół Szkół i Placówek Oświatowych w Lidzbarku Warmińskim</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850E5D" w:rsidRDefault="00694DE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3</w:t>
      </w:r>
      <w:r w:rsidR="00850E5D">
        <w:rPr>
          <w:rFonts w:ascii="Tahoma" w:hAnsi="Tahoma" w:cs="Tahoma"/>
          <w:b/>
          <w:sz w:val="20"/>
          <w:szCs w:val="20"/>
        </w:rPr>
        <w:t>) Część I</w:t>
      </w:r>
      <w:r>
        <w:rPr>
          <w:rFonts w:ascii="Tahoma" w:hAnsi="Tahoma" w:cs="Tahoma"/>
          <w:b/>
          <w:sz w:val="20"/>
          <w:szCs w:val="20"/>
        </w:rPr>
        <w:t>II</w:t>
      </w:r>
      <w:r w:rsidR="00850E5D">
        <w:rPr>
          <w:rFonts w:ascii="Tahoma" w:hAnsi="Tahoma" w:cs="Tahoma"/>
          <w:b/>
          <w:sz w:val="20"/>
          <w:szCs w:val="20"/>
        </w:rPr>
        <w:t xml:space="preserve">- </w:t>
      </w:r>
      <w:r w:rsidR="00850E5D" w:rsidRPr="00850E5D">
        <w:rPr>
          <w:rFonts w:ascii="Tahoma" w:hAnsi="Tahoma" w:cs="Tahoma"/>
          <w:b/>
          <w:sz w:val="20"/>
          <w:szCs w:val="20"/>
        </w:rPr>
        <w:t>Budynek administracyjny przy ul. Wyszyńskiego 20 w Lidzbarku Warmińskim</w:t>
      </w:r>
    </w:p>
    <w:p w:rsidR="00E55CB9" w:rsidRPr="00E55CB9" w:rsidRDefault="00E55CB9" w:rsidP="00E55CB9">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sidR="00EF3AE0">
        <w:rPr>
          <w:rFonts w:ascii="Tahoma" w:hAnsi="Tahoma" w:cs="Tahoma"/>
          <w:sz w:val="20"/>
          <w:szCs w:val="20"/>
        </w:rPr>
        <w:t xml:space="preserve"> zewnętrznej</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4E14A6" w:rsidRPr="0053429E" w:rsidRDefault="004E14A6" w:rsidP="005B02AD">
      <w:pPr>
        <w:pStyle w:val="Akapitzlist"/>
        <w:numPr>
          <w:ilvl w:val="0"/>
          <w:numId w:val="30"/>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53429E" w:rsidRPr="0053429E" w:rsidRDefault="0053429E"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7939A8" w:rsidRDefault="007939A8" w:rsidP="0053429E">
      <w:pPr>
        <w:pStyle w:val="Akapitzlist"/>
        <w:spacing w:after="160" w:line="250" w:lineRule="auto"/>
        <w:ind w:left="360"/>
        <w:contextualSpacing/>
        <w:jc w:val="both"/>
        <w:rPr>
          <w:rFonts w:ascii="Tahoma" w:hAnsi="Tahoma" w:cs="Tahoma"/>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lastRenderedPageBreak/>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xml:space="preserve">. Wykonawca może jednak złożyć oferty na </w:t>
      </w:r>
      <w:r w:rsidR="00671294">
        <w:rPr>
          <w:rFonts w:ascii="Arial" w:hAnsi="Arial" w:cs="Arial"/>
          <w:sz w:val="20"/>
          <w:szCs w:val="20"/>
        </w:rPr>
        <w:t xml:space="preserve">wszystkie </w:t>
      </w:r>
      <w:r>
        <w:rPr>
          <w:rFonts w:ascii="Arial" w:hAnsi="Arial" w:cs="Arial"/>
          <w:sz w:val="20"/>
          <w:szCs w:val="20"/>
        </w:rPr>
        <w:t xml:space="preserve">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t>
      </w:r>
      <w:r w:rsidRPr="00083DAA">
        <w:rPr>
          <w:rFonts w:ascii="Tahoma" w:hAnsi="Tahoma" w:cs="Tahoma"/>
          <w:sz w:val="20"/>
          <w:szCs w:val="20"/>
        </w:rPr>
        <w:lastRenderedPageBreak/>
        <w:t>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18469E">
        <w:rPr>
          <w:rFonts w:ascii="Tahoma" w:hAnsi="Tahoma" w:cs="Tahoma"/>
          <w:sz w:val="20"/>
          <w:szCs w:val="20"/>
        </w:rPr>
        <w:lastRenderedPageBreak/>
        <w:t>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lastRenderedPageBreak/>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336423" w:rsidP="008D3C27">
      <w:pPr>
        <w:pStyle w:val="Akapitzlist3"/>
        <w:widowControl w:val="0"/>
        <w:spacing w:after="0" w:line="360" w:lineRule="auto"/>
        <w:jc w:val="both"/>
        <w:rPr>
          <w:rFonts w:ascii="Tahoma" w:hAnsi="Tahoma" w:cs="Tahoma"/>
          <w:lang w:val="cs-CZ"/>
        </w:rPr>
      </w:pPr>
    </w:p>
    <w:p w:rsidR="00336423" w:rsidRPr="00336423" w:rsidRDefault="003050CC" w:rsidP="008D3C27">
      <w:pPr>
        <w:pStyle w:val="Akapitzlist3"/>
        <w:widowControl w:val="0"/>
        <w:spacing w:after="0" w:line="360" w:lineRule="auto"/>
        <w:jc w:val="both"/>
        <w:rPr>
          <w:rFonts w:ascii="Tahoma" w:hAnsi="Tahoma" w:cs="Tahoma"/>
          <w:lang w:val="cs-CZ"/>
        </w:rPr>
      </w:pPr>
      <w:r w:rsidRPr="003050CC">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662062" w:rsidRPr="00561AF9" w:rsidRDefault="00662062"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662062" w:rsidRPr="00336423" w:rsidRDefault="00662062" w:rsidP="00336423">
                  <w:pPr>
                    <w:rPr>
                      <w:szCs w:val="20"/>
                    </w:rPr>
                  </w:pPr>
                </w:p>
              </w:txbxContent>
            </v:textbox>
            <w10:wrap type="square"/>
          </v:shape>
        </w:pict>
      </w:r>
    </w:p>
    <w:p w:rsidR="004977FF" w:rsidRPr="004977FF" w:rsidRDefault="00F3530D" w:rsidP="005B02AD">
      <w:pPr>
        <w:pStyle w:val="Akapitzlist"/>
        <w:numPr>
          <w:ilvl w:val="0"/>
          <w:numId w:val="23"/>
        </w:numPr>
        <w:spacing w:line="360" w:lineRule="auto"/>
        <w:ind w:left="284" w:hanging="284"/>
        <w:jc w:val="both"/>
        <w:rPr>
          <w:rFonts w:ascii="Arial" w:hAnsi="Arial" w:cs="Arial"/>
          <w:b/>
          <w:noProof w:val="0"/>
          <w:sz w:val="20"/>
          <w:szCs w:val="20"/>
          <w:lang w:val="pl-PL"/>
        </w:rPr>
      </w:pPr>
      <w:r w:rsidRPr="00F710D4">
        <w:rPr>
          <w:rFonts w:ascii="Arial" w:hAnsi="Arial" w:cs="Arial"/>
          <w:noProof w:val="0"/>
          <w:sz w:val="20"/>
          <w:szCs w:val="20"/>
          <w:lang w:val="pl-PL"/>
        </w:rPr>
        <w:t xml:space="preserve">Termin wykonania przedmiotu zamówienia </w:t>
      </w:r>
      <w:r w:rsidR="004977FF">
        <w:rPr>
          <w:rFonts w:ascii="Arial" w:hAnsi="Arial" w:cs="Arial"/>
          <w:noProof w:val="0"/>
          <w:sz w:val="20"/>
          <w:szCs w:val="20"/>
          <w:lang w:val="pl-PL"/>
        </w:rPr>
        <w:t xml:space="preserve">dla wszystkich części </w:t>
      </w:r>
      <w:r w:rsidRPr="00F710D4">
        <w:rPr>
          <w:rFonts w:ascii="Arial" w:hAnsi="Arial" w:cs="Arial"/>
          <w:noProof w:val="0"/>
          <w:sz w:val="20"/>
          <w:szCs w:val="20"/>
          <w:lang w:val="pl-PL"/>
        </w:rPr>
        <w:t xml:space="preserve">ustala się </w:t>
      </w:r>
      <w:r w:rsidR="004977FF" w:rsidRPr="004977FF">
        <w:rPr>
          <w:rFonts w:ascii="Arial" w:hAnsi="Arial" w:cs="Arial"/>
          <w:b/>
          <w:noProof w:val="0"/>
          <w:sz w:val="20"/>
          <w:szCs w:val="20"/>
          <w:lang w:val="pl-PL"/>
        </w:rPr>
        <w:t>do 31.10.2018 r.</w:t>
      </w:r>
    </w:p>
    <w:p w:rsidR="00561AF9" w:rsidRPr="00BA3E3F" w:rsidRDefault="00561AF9" w:rsidP="005B02AD">
      <w:pPr>
        <w:pStyle w:val="Akapitzlist"/>
        <w:numPr>
          <w:ilvl w:val="0"/>
          <w:numId w:val="23"/>
        </w:numPr>
        <w:spacing w:line="360" w:lineRule="auto"/>
        <w:ind w:left="284" w:hanging="284"/>
        <w:jc w:val="both"/>
        <w:rPr>
          <w:rFonts w:ascii="Arial" w:hAnsi="Arial" w:cs="Arial"/>
          <w:noProof w:val="0"/>
          <w:sz w:val="20"/>
          <w:szCs w:val="20"/>
          <w:lang w:val="pl-PL"/>
        </w:rPr>
      </w:pPr>
      <w:r w:rsidRPr="00BA3E3F">
        <w:rPr>
          <w:rFonts w:ascii="Arial" w:hAnsi="Arial" w:cs="Arial"/>
          <w:noProof w:val="0"/>
          <w:sz w:val="20"/>
          <w:szCs w:val="20"/>
          <w:lang w:val="pl-PL"/>
        </w:rPr>
        <w:t xml:space="preserve">Termin gwarancji dla </w:t>
      </w:r>
      <w:r w:rsidR="004977FF" w:rsidRPr="00BA3E3F">
        <w:rPr>
          <w:rFonts w:ascii="Arial" w:hAnsi="Arial" w:cs="Arial"/>
          <w:noProof w:val="0"/>
          <w:sz w:val="20"/>
          <w:szCs w:val="20"/>
          <w:lang w:val="pl-PL"/>
        </w:rPr>
        <w:t xml:space="preserve">wszystkich </w:t>
      </w:r>
      <w:r w:rsidRPr="00BA3E3F">
        <w:rPr>
          <w:rFonts w:ascii="Arial" w:hAnsi="Arial" w:cs="Arial"/>
          <w:noProof w:val="0"/>
          <w:sz w:val="20"/>
          <w:szCs w:val="20"/>
          <w:lang w:val="pl-PL"/>
        </w:rPr>
        <w:t>części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3050CC" w:rsidP="003D1961">
      <w:pPr>
        <w:pStyle w:val="Tekstpodstawowy"/>
        <w:spacing w:line="360" w:lineRule="auto"/>
        <w:jc w:val="both"/>
        <w:rPr>
          <w:rFonts w:ascii="Tahoma" w:hAnsi="Tahoma" w:cs="Tahoma"/>
          <w:sz w:val="20"/>
          <w:szCs w:val="20"/>
          <w:lang w:val="pl-PL"/>
        </w:rPr>
      </w:pPr>
      <w:r w:rsidRPr="003050CC">
        <w:rPr>
          <w:lang w:val="pl-PL"/>
        </w:rPr>
        <w:pict>
          <v:shape id="_x0000_s1032" type="#_x0000_t202" style="position:absolute;left:0;text-align:left;margin-left:3.25pt;margin-top:11.85pt;width:468.7pt;height:32.65pt;z-index:251663360" fillcolor="#ddd" strokecolor="silver">
            <v:textbox style="mso-next-textbox:#_x0000_s1032">
              <w:txbxContent>
                <w:p w:rsidR="00662062" w:rsidRPr="0019793F" w:rsidRDefault="00662062"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A4782F">
        <w:rPr>
          <w:rFonts w:ascii="Tahoma" w:hAnsi="Tahoma" w:cs="Tahoma"/>
          <w:b/>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7</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7D6D2C">
        <w:rPr>
          <w:rFonts w:ascii="Tahoma" w:hAnsi="Tahoma" w:cs="Tahoma"/>
          <w:sz w:val="20"/>
          <w:szCs w:val="20"/>
        </w:rPr>
        <w:t>siedemset tysięcy</w:t>
      </w:r>
      <w:r w:rsidR="00A4782F">
        <w:rPr>
          <w:rFonts w:ascii="Tahoma" w:hAnsi="Tahoma" w:cs="Tahoma"/>
          <w:sz w:val="20"/>
          <w:szCs w:val="20"/>
        </w:rPr>
        <w:t xml:space="preserve"> </w:t>
      </w:r>
      <w:r w:rsidR="00C66709">
        <w:rPr>
          <w:rFonts w:ascii="Tahoma" w:hAnsi="Tahoma" w:cs="Tahoma"/>
          <w:sz w:val="20"/>
          <w:szCs w:val="20"/>
        </w:rPr>
        <w:t>złotych</w:t>
      </w:r>
      <w:r w:rsidR="00C3314B" w:rsidRPr="00C3314B">
        <w:rPr>
          <w:rFonts w:ascii="Tahoma" w:hAnsi="Tahoma" w:cs="Tahoma"/>
          <w:sz w:val="20"/>
          <w:szCs w:val="20"/>
        </w:rPr>
        <w:t>).</w:t>
      </w:r>
    </w:p>
    <w:p w:rsidR="00C2000B" w:rsidRDefault="00F94127" w:rsidP="00C2000B">
      <w:pPr>
        <w:spacing w:line="360" w:lineRule="auto"/>
        <w:rPr>
          <w:rFonts w:ascii="Tahoma" w:hAnsi="Tahoma" w:cs="Tahoma"/>
          <w:sz w:val="20"/>
          <w:szCs w:val="20"/>
        </w:rPr>
      </w:pPr>
      <w:r w:rsidRPr="00A4782F">
        <w:rPr>
          <w:rFonts w:ascii="Tahoma" w:hAnsi="Tahoma" w:cs="Tahoma"/>
          <w:noProof w:val="0"/>
          <w:sz w:val="20"/>
          <w:szCs w:val="20"/>
          <w:lang w:val="pl-PL"/>
        </w:rPr>
        <w:t xml:space="preserve"> </w:t>
      </w:r>
      <w:r w:rsidR="00A4782F" w:rsidRPr="00A4782F">
        <w:rPr>
          <w:rFonts w:ascii="Tahoma" w:hAnsi="Tahoma" w:cs="Tahoma"/>
          <w:b/>
          <w:noProof w:val="0"/>
          <w:sz w:val="20"/>
          <w:szCs w:val="20"/>
          <w:u w:val="single"/>
          <w:lang w:val="pl-PL"/>
        </w:rPr>
        <w:t>Dla c</w:t>
      </w:r>
      <w:r w:rsidRPr="00A4782F">
        <w:rPr>
          <w:rFonts w:ascii="Tahoma" w:hAnsi="Tahoma" w:cs="Tahoma"/>
          <w:b/>
          <w:noProof w:val="0"/>
          <w:sz w:val="20"/>
          <w:szCs w:val="20"/>
          <w:u w:val="single"/>
          <w:lang w:val="pl-PL"/>
        </w:rPr>
        <w:t>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pięśdziesiąt</w:t>
      </w:r>
      <w:r w:rsidR="00C2000B" w:rsidRPr="00C3314B">
        <w:rPr>
          <w:rFonts w:ascii="Tahoma" w:hAnsi="Tahoma" w:cs="Tahoma"/>
          <w:sz w:val="20"/>
          <w:szCs w:val="20"/>
        </w:rPr>
        <w:t xml:space="preserve"> tysięcy złotych).</w:t>
      </w:r>
    </w:p>
    <w:p w:rsidR="00BA3E3F" w:rsidRPr="00854A67" w:rsidRDefault="00BA3E3F" w:rsidP="00C2000B">
      <w:pPr>
        <w:spacing w:line="360" w:lineRule="auto"/>
        <w:rPr>
          <w:rFonts w:ascii="Tahoma" w:hAnsi="Tahoma" w:cs="Tahoma"/>
          <w:sz w:val="22"/>
          <w:szCs w:val="22"/>
        </w:rPr>
      </w:pPr>
      <w:r w:rsidRPr="00A4782F">
        <w:rPr>
          <w:rFonts w:ascii="Tahoma" w:hAnsi="Tahoma" w:cs="Tahoma"/>
          <w:b/>
          <w:sz w:val="20"/>
          <w:szCs w:val="20"/>
          <w:u w:val="single"/>
        </w:rPr>
        <w:t>Dla części III</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2</w:t>
      </w:r>
      <w:r w:rsidRPr="00C2000B">
        <w:rPr>
          <w:rFonts w:ascii="Tahoma" w:hAnsi="Tahoma" w:cs="Tahoma"/>
          <w:b/>
          <w:sz w:val="20"/>
          <w:szCs w:val="20"/>
        </w:rPr>
        <w:t>00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7D6D2C">
        <w:rPr>
          <w:rFonts w:ascii="Tahoma" w:hAnsi="Tahoma" w:cs="Tahoma"/>
          <w:sz w:val="20"/>
          <w:szCs w:val="20"/>
        </w:rPr>
        <w:t>dwieście</w:t>
      </w:r>
      <w:r w:rsidR="00A4782F">
        <w:rPr>
          <w:rFonts w:ascii="Tahoma" w:hAnsi="Tahoma" w:cs="Tahoma"/>
          <w:sz w:val="20"/>
          <w:szCs w:val="20"/>
        </w:rPr>
        <w:t xml:space="preserve"> tysięcy</w:t>
      </w:r>
      <w:r>
        <w:rPr>
          <w:rFonts w:ascii="Tahoma" w:hAnsi="Tahoma" w:cs="Tahoma"/>
          <w:sz w:val="20"/>
          <w:szCs w:val="20"/>
        </w:rPr>
        <w:t xml:space="preserve"> złotych</w:t>
      </w:r>
      <w:r w:rsidRPr="00C3314B">
        <w:rPr>
          <w:rFonts w:ascii="Tahoma" w:hAnsi="Tahoma" w:cs="Tahoma"/>
          <w:sz w:val="20"/>
          <w:szCs w:val="20"/>
        </w:rPr>
        <w:t>).</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w:t>
      </w:r>
      <w:r w:rsidR="002F03D2">
        <w:rPr>
          <w:rStyle w:val="Pogrubienie"/>
          <w:rFonts w:ascii="Tahoma" w:hAnsi="Tahoma" w:cs="Tahoma"/>
          <w:sz w:val="20"/>
          <w:szCs w:val="20"/>
        </w:rPr>
        <w:t>4</w:t>
      </w:r>
      <w:r w:rsidR="00C66709">
        <w:rPr>
          <w:rStyle w:val="Pogrubienie"/>
          <w:rFonts w:ascii="Tahoma" w:hAnsi="Tahoma" w:cs="Tahoma"/>
          <w:sz w:val="20"/>
          <w:szCs w:val="20"/>
        </w:rPr>
        <w:t>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 xml:space="preserve">jeden milion </w:t>
      </w:r>
      <w:r w:rsidR="002F03D2">
        <w:rPr>
          <w:rStyle w:val="Pogrubienie"/>
          <w:rFonts w:ascii="Tahoma" w:hAnsi="Tahoma" w:cs="Tahoma"/>
          <w:b w:val="0"/>
          <w:sz w:val="20"/>
          <w:szCs w:val="20"/>
        </w:rPr>
        <w:t>czterysta</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694DED" w:rsidRDefault="004350AF" w:rsidP="00694DED">
      <w:pPr>
        <w:spacing w:line="360" w:lineRule="auto"/>
        <w:rPr>
          <w:rFonts w:ascii="Tahoma" w:hAnsi="Tahoma" w:cs="Tahoma"/>
          <w:sz w:val="20"/>
          <w:szCs w:val="20"/>
          <w:u w:val="single"/>
        </w:rPr>
      </w:pPr>
      <w:r w:rsidRPr="004166B0">
        <w:rPr>
          <w:rFonts w:ascii="Tahoma" w:hAnsi="Tahoma" w:cs="Tahoma"/>
          <w:sz w:val="20"/>
          <w:szCs w:val="20"/>
          <w:u w:val="single"/>
        </w:rPr>
        <w:t>Dla części I</w:t>
      </w:r>
      <w:r w:rsidR="00FD231D">
        <w:rPr>
          <w:rFonts w:ascii="Tahoma" w:hAnsi="Tahoma" w:cs="Tahoma"/>
          <w:sz w:val="20"/>
          <w:szCs w:val="20"/>
          <w:u w:val="single"/>
        </w:rPr>
        <w:t xml:space="preserve">, II, III </w:t>
      </w:r>
    </w:p>
    <w:p w:rsidR="004166B0" w:rsidRPr="00E361E5" w:rsidRDefault="000F0D8B" w:rsidP="00694DED">
      <w:p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w:t>
      </w:r>
      <w:r w:rsidRPr="000F0D8B">
        <w:rPr>
          <w:rFonts w:ascii="Tahoma" w:hAnsi="Tahoma" w:cs="Tahoma"/>
          <w:sz w:val="20"/>
          <w:szCs w:val="20"/>
        </w:rPr>
        <w:lastRenderedPageBreak/>
        <w:t>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sidR="00FD231D">
        <w:rPr>
          <w:rFonts w:ascii="Tahoma" w:hAnsi="Tahoma" w:cs="Tahoma"/>
          <w:sz w:val="20"/>
          <w:szCs w:val="20"/>
          <w:u w:val="single"/>
        </w:rPr>
        <w:t>, II, III</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 xml:space="preserve">Wykonawca może w celu potwierdzenia spełniania warunków udziału w postępowaniu, polegać </w:t>
      </w:r>
      <w:r w:rsidRPr="00892696">
        <w:rPr>
          <w:rFonts w:ascii="Tahoma" w:hAnsi="Tahoma" w:cs="Tahoma"/>
          <w:sz w:val="20"/>
          <w:szCs w:val="20"/>
        </w:rPr>
        <w:lastRenderedPageBreak/>
        <w:t>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w:t>
      </w:r>
      <w:r w:rsidRPr="00554F75">
        <w:rPr>
          <w:rFonts w:ascii="Tahoma" w:hAnsi="Tahoma" w:cs="Tahoma"/>
          <w:sz w:val="20"/>
          <w:szCs w:val="20"/>
        </w:rPr>
        <w:lastRenderedPageBreak/>
        <w:t xml:space="preserve">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3050CC" w:rsidP="00851C90">
      <w:pPr>
        <w:autoSpaceDE w:val="0"/>
        <w:autoSpaceDN w:val="0"/>
        <w:adjustRightInd w:val="0"/>
        <w:spacing w:line="360" w:lineRule="auto"/>
        <w:jc w:val="both"/>
        <w:rPr>
          <w:rFonts w:ascii="Century Gothic" w:hAnsi="Century Gothic" w:cs="Century Gothic"/>
          <w:sz w:val="20"/>
          <w:szCs w:val="20"/>
        </w:rPr>
      </w:pPr>
      <w:r w:rsidRPr="003050CC">
        <w:rPr>
          <w:lang w:val="pl-PL"/>
        </w:rPr>
        <w:pict>
          <v:shape id="_x0000_s1033" type="#_x0000_t202" style="position:absolute;left:0;text-align:left;margin-left:-9pt;margin-top:16.1pt;width:486pt;height:27pt;z-index:251649024" fillcolor="#ddd">
            <v:textbox>
              <w:txbxContent>
                <w:p w:rsidR="00662062" w:rsidRPr="00B13636" w:rsidRDefault="00662062"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3050CC" w:rsidP="00C302D8">
      <w:pPr>
        <w:autoSpaceDE w:val="0"/>
        <w:autoSpaceDN w:val="0"/>
        <w:adjustRightInd w:val="0"/>
        <w:spacing w:line="360" w:lineRule="auto"/>
        <w:jc w:val="both"/>
        <w:rPr>
          <w:rFonts w:ascii="Tahoma" w:hAnsi="Tahoma" w:cs="Tahoma"/>
          <w:sz w:val="20"/>
          <w:szCs w:val="20"/>
        </w:rPr>
      </w:pPr>
      <w:r w:rsidRPr="003050CC">
        <w:rPr>
          <w:lang w:val="pl-PL"/>
        </w:rPr>
        <w:pict>
          <v:shape id="_x0000_s1034" type="#_x0000_t202" style="position:absolute;left:0;text-align:left;margin-left:-1.4pt;margin-top:26.6pt;width:470.2pt;height:62.25pt;z-index:251664384" fillcolor="#ddd">
            <v:textbox style="mso-fit-shape-to-text:t">
              <w:txbxContent>
                <w:p w:rsidR="00662062" w:rsidRPr="00102134" w:rsidRDefault="00662062"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r w:rsidR="00FC5530">
        <w:rPr>
          <w:rFonts w:ascii="Tahoma" w:hAnsi="Tahoma" w:cs="Tahoma"/>
          <w:noProof w:val="0"/>
          <w:sz w:val="20"/>
          <w:szCs w:val="20"/>
          <w:lang w:val="pl-PL"/>
        </w:rPr>
        <w:t xml:space="preserve"> (dot. wszystkich części)</w:t>
      </w:r>
      <w:r w:rsidRPr="006B1EEE">
        <w:rPr>
          <w:rFonts w:ascii="Tahoma" w:hAnsi="Tahoma" w:cs="Tahoma"/>
          <w:noProof w:val="0"/>
          <w:sz w:val="20"/>
          <w:szCs w:val="20"/>
          <w:lang w:val="pl-PL"/>
        </w:rPr>
        <w:t>:</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 xml:space="preserve">dokument, </w:t>
      </w:r>
      <w:r w:rsidRPr="00C2000B">
        <w:rPr>
          <w:rFonts w:ascii="Tahoma" w:hAnsi="Tahoma" w:cs="Tahoma"/>
          <w:sz w:val="20"/>
          <w:szCs w:val="20"/>
        </w:rPr>
        <w:lastRenderedPageBreak/>
        <w:t>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FC5530">
        <w:rPr>
          <w:rFonts w:ascii="Tahoma" w:hAnsi="Tahoma" w:cs="Tahoma"/>
          <w:noProof w:val="0"/>
          <w:sz w:val="20"/>
          <w:szCs w:val="20"/>
          <w:lang w:val="pl-PL"/>
        </w:rPr>
        <w:t xml:space="preserve"> (dot. wszystkich części)</w:t>
      </w:r>
      <w:r w:rsidR="00CF6EA5">
        <w:rPr>
          <w:rFonts w:ascii="Tahoma" w:hAnsi="Tahoma" w:cs="Tahoma"/>
          <w:noProof w:val="0"/>
          <w:sz w:val="20"/>
          <w:szCs w:val="20"/>
          <w:lang w:val="pl-PL"/>
        </w:rPr>
        <w:t xml:space="preserve">     </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 xml:space="preserve">ykonawca ma siedzibę lub </w:t>
      </w:r>
      <w:r w:rsidRPr="00E67490">
        <w:rPr>
          <w:rFonts w:ascii="Tahoma" w:hAnsi="Tahoma" w:cs="Tahoma"/>
          <w:noProof w:val="0"/>
          <w:sz w:val="20"/>
          <w:szCs w:val="20"/>
          <w:lang w:val="pl-PL"/>
        </w:rPr>
        <w:lastRenderedPageBreak/>
        <w:t>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 xml:space="preserve">.2 SIWZ składany jest przez Wykonawcę w terminie 3 dni od zamieszczenia na stronie internetowej </w:t>
      </w:r>
      <w:r w:rsidRPr="008D7E86">
        <w:rPr>
          <w:rFonts w:ascii="Tahoma" w:hAnsi="Tahoma" w:cs="Tahoma"/>
          <w:sz w:val="20"/>
          <w:szCs w:val="20"/>
          <w:u w:val="single"/>
        </w:rPr>
        <w:lastRenderedPageBreak/>
        <w:t>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3050CC" w:rsidP="00DA01D1">
      <w:pPr>
        <w:autoSpaceDE w:val="0"/>
        <w:autoSpaceDN w:val="0"/>
        <w:adjustRightInd w:val="0"/>
        <w:spacing w:line="360" w:lineRule="auto"/>
        <w:jc w:val="both"/>
        <w:rPr>
          <w:rFonts w:ascii="Tahoma" w:hAnsi="Tahoma" w:cs="Tahoma"/>
          <w:sz w:val="20"/>
          <w:szCs w:val="20"/>
        </w:rPr>
      </w:pPr>
      <w:r w:rsidRPr="003050CC">
        <w:rPr>
          <w:lang w:val="pl-PL"/>
        </w:rPr>
        <w:pict>
          <v:shape id="_x0000_s1035" type="#_x0000_t202" style="position:absolute;left:0;text-align:left;margin-left:-9pt;margin-top:13.4pt;width:477pt;height:44.15pt;z-index:251650048" fillcolor="#ddd" strokecolor="silver">
            <v:textbox style="mso-fit-shape-to-text:t">
              <w:txbxContent>
                <w:p w:rsidR="00662062" w:rsidRPr="004C2A4A" w:rsidRDefault="00662062"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w:t>
      </w:r>
      <w:r w:rsidR="000712CB">
        <w:rPr>
          <w:rFonts w:ascii="Arial" w:hAnsi="Arial" w:cs="Arial"/>
          <w:sz w:val="20"/>
          <w:szCs w:val="20"/>
        </w:rPr>
        <w:t>dw</w:t>
      </w:r>
      <w:r w:rsidR="00A55BB9">
        <w:rPr>
          <w:rFonts w:ascii="Arial" w:hAnsi="Arial" w:cs="Arial"/>
          <w:sz w:val="20"/>
          <w:szCs w:val="20"/>
        </w:rPr>
        <w:t>ie</w:t>
      </w:r>
      <w:r w:rsidR="00ED1A81">
        <w:rPr>
          <w:rFonts w:ascii="Arial" w:hAnsi="Arial" w:cs="Arial"/>
          <w:sz w:val="20"/>
          <w:szCs w:val="20"/>
        </w:rPr>
        <w:t>, trzy lub cztery</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3050CC" w:rsidP="00DA01D1">
      <w:pPr>
        <w:tabs>
          <w:tab w:val="left" w:pos="720"/>
        </w:tabs>
        <w:spacing w:line="360" w:lineRule="auto"/>
        <w:ind w:right="-1"/>
        <w:jc w:val="both"/>
        <w:rPr>
          <w:rFonts w:ascii="Tahoma" w:hAnsi="Tahoma" w:cs="Tahoma"/>
          <w:spacing w:val="4"/>
          <w:sz w:val="20"/>
          <w:szCs w:val="20"/>
        </w:rPr>
      </w:pPr>
      <w:r w:rsidRPr="003050CC">
        <w:rPr>
          <w:lang w:val="pl-PL"/>
        </w:rPr>
        <w:pict>
          <v:shape id="_x0000_s1036" type="#_x0000_t202" style="position:absolute;left:0;text-align:left;margin-left:0;margin-top:0;width:468pt;height:44.15pt;z-index:251652096" fillcolor="#ddd">
            <v:textbox style="mso-fit-shape-to-text:t">
              <w:txbxContent>
                <w:p w:rsidR="00662062" w:rsidRPr="00E63911" w:rsidRDefault="00662062"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dnia </w:t>
      </w:r>
      <w:r w:rsidR="00694DED">
        <w:rPr>
          <w:rFonts w:ascii="Tahoma" w:hAnsi="Tahoma" w:cs="Tahoma"/>
          <w:b/>
          <w:bCs/>
          <w:sz w:val="20"/>
          <w:szCs w:val="20"/>
        </w:rPr>
        <w:t>01.12</w:t>
      </w:r>
      <w:r w:rsidR="00080EF0">
        <w:rPr>
          <w:rFonts w:ascii="Tahoma" w:hAnsi="Tahoma" w:cs="Tahoma"/>
          <w:b/>
          <w:bCs/>
          <w:sz w:val="20"/>
          <w:szCs w:val="20"/>
        </w:rPr>
        <w:t>.2017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694DED">
        <w:rPr>
          <w:rFonts w:ascii="Tahoma" w:hAnsi="Tahoma" w:cs="Tahoma"/>
          <w:b/>
          <w:bCs/>
          <w:sz w:val="20"/>
          <w:szCs w:val="20"/>
        </w:rPr>
        <w:t>01.12</w:t>
      </w:r>
      <w:r w:rsidR="00080EF0">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ED1A81"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Część </w:t>
      </w:r>
      <w:r w:rsidR="000712CB">
        <w:rPr>
          <w:rFonts w:ascii="Tahoma" w:hAnsi="Tahoma" w:cs="Tahoma"/>
          <w:b/>
          <w:bCs/>
          <w:i/>
          <w:iCs/>
          <w:sz w:val="20"/>
          <w:szCs w:val="20"/>
        </w:rPr>
        <w:t xml:space="preserve">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694DED">
        <w:rPr>
          <w:rFonts w:ascii="Tahoma" w:hAnsi="Tahoma" w:cs="Tahoma"/>
          <w:b/>
          <w:bCs/>
          <w:iCs/>
          <w:kern w:val="2"/>
          <w:sz w:val="20"/>
          <w:szCs w:val="20"/>
        </w:rPr>
        <w:t>3</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694DED">
        <w:rPr>
          <w:rFonts w:ascii="Tahoma" w:hAnsi="Tahoma" w:cs="Tahoma"/>
          <w:b/>
          <w:bCs/>
          <w:iCs/>
          <w:sz w:val="20"/>
          <w:szCs w:val="20"/>
          <w:u w:val="single"/>
        </w:rPr>
        <w:t>01.12</w:t>
      </w:r>
      <w:r w:rsidR="006B27A1">
        <w:rPr>
          <w:rFonts w:ascii="Tahoma" w:hAnsi="Tahoma" w:cs="Tahoma"/>
          <w:b/>
          <w:bCs/>
          <w:iCs/>
          <w:sz w:val="20"/>
          <w:szCs w:val="20"/>
          <w:u w:val="single"/>
        </w:rPr>
        <w:t>.</w:t>
      </w:r>
      <w:r w:rsidR="00080EF0" w:rsidRPr="00080EF0">
        <w:rPr>
          <w:rFonts w:ascii="Tahoma" w:hAnsi="Tahoma" w:cs="Tahoma"/>
          <w:b/>
          <w:bCs/>
          <w:iCs/>
          <w:sz w:val="20"/>
          <w:szCs w:val="20"/>
          <w:u w:val="single"/>
        </w:rPr>
        <w:t>2017r.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3050CC" w:rsidP="00BF4C78">
      <w:pPr>
        <w:spacing w:line="360" w:lineRule="auto"/>
        <w:ind w:right="-1"/>
        <w:jc w:val="both"/>
        <w:rPr>
          <w:rStyle w:val="tekstdokbold"/>
          <w:rFonts w:ascii="Tahoma" w:hAnsi="Tahoma" w:cs="Tahoma"/>
          <w:sz w:val="20"/>
          <w:szCs w:val="20"/>
        </w:rPr>
      </w:pPr>
      <w:r w:rsidRPr="003050CC">
        <w:rPr>
          <w:lang w:val="pl-PL"/>
        </w:rPr>
        <w:pict>
          <v:shape id="_x0000_s1037" type="#_x0000_t202" style="position:absolute;left:0;text-align:left;margin-left:-.5pt;margin-top:20.7pt;width:455.65pt;height:29.05pt;z-index:251651072" fillcolor="#ddd">
            <v:textbox style="mso-next-textbox:#_x0000_s1037">
              <w:txbxContent>
                <w:p w:rsidR="00662062" w:rsidRPr="004C72EB" w:rsidRDefault="00662062"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3050CC" w:rsidP="00BF4C78">
      <w:pPr>
        <w:tabs>
          <w:tab w:val="left" w:pos="-3119"/>
        </w:tabs>
        <w:spacing w:line="360" w:lineRule="auto"/>
        <w:ind w:left="600" w:hanging="600"/>
        <w:jc w:val="both"/>
        <w:rPr>
          <w:rFonts w:ascii="Tahoma" w:hAnsi="Tahoma" w:cs="Tahoma"/>
          <w:b/>
          <w:bCs/>
          <w:color w:val="000000"/>
          <w:sz w:val="20"/>
          <w:szCs w:val="20"/>
        </w:rPr>
      </w:pPr>
      <w:r w:rsidRPr="003050CC">
        <w:rPr>
          <w:lang w:val="pl-PL"/>
        </w:rPr>
        <w:pict>
          <v:shape id="_x0000_s1038" type="#_x0000_t202" style="position:absolute;left:0;text-align:left;margin-left:0;margin-top:16.1pt;width:446.2pt;height:44.15pt;z-index:251653120" fillcolor="#ddd">
            <v:textbox style="mso-fit-shape-to-text:t">
              <w:txbxContent>
                <w:p w:rsidR="00662062" w:rsidRPr="00D76982" w:rsidRDefault="00662062"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3050CC" w:rsidP="00B117BA">
      <w:pPr>
        <w:numPr>
          <w:ilvl w:val="0"/>
          <w:numId w:val="10"/>
        </w:numPr>
        <w:autoSpaceDE w:val="0"/>
        <w:autoSpaceDN w:val="0"/>
        <w:adjustRightInd w:val="0"/>
        <w:spacing w:line="360" w:lineRule="auto"/>
        <w:rPr>
          <w:rFonts w:ascii="Tahoma" w:hAnsi="Tahoma" w:cs="Tahoma"/>
          <w:color w:val="000000"/>
          <w:sz w:val="20"/>
          <w:szCs w:val="20"/>
        </w:rPr>
      </w:pPr>
      <w:r w:rsidRPr="003050CC">
        <w:rPr>
          <w:lang w:val="pl-PL"/>
        </w:rPr>
        <w:lastRenderedPageBreak/>
        <w:pict>
          <v:shape id="_x0000_s1039" type="#_x0000_t202" style="position:absolute;left:0;text-align:left;margin-left:-9pt;margin-top:63.4pt;width:459pt;height:26.05pt;z-index:251666432" fillcolor="silver">
            <v:textbox style="mso-fit-shape-to-text:t">
              <w:txbxContent>
                <w:p w:rsidR="00662062" w:rsidRPr="009A1A9D" w:rsidRDefault="00662062"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6B27A1">
        <w:rPr>
          <w:rFonts w:ascii="Tahoma" w:hAnsi="Tahoma" w:cs="Tahoma"/>
          <w:b/>
          <w:noProof w:val="0"/>
          <w:sz w:val="20"/>
          <w:szCs w:val="20"/>
          <w:lang w:val="pl-PL"/>
        </w:rPr>
        <w:t>2</w:t>
      </w:r>
      <w:r w:rsidR="0056657B">
        <w:rPr>
          <w:rFonts w:ascii="Tahoma" w:hAnsi="Tahoma" w:cs="Tahoma"/>
          <w:b/>
          <w:noProof w:val="0"/>
          <w:sz w:val="20"/>
          <w:szCs w:val="20"/>
          <w:lang w:val="pl-PL"/>
        </w:rPr>
        <w:t>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6B27A1">
        <w:rPr>
          <w:rFonts w:ascii="Tahoma" w:hAnsi="Tahoma" w:cs="Tahoma"/>
          <w:noProof w:val="0"/>
          <w:sz w:val="20"/>
          <w:szCs w:val="20"/>
          <w:lang w:val="pl-PL"/>
        </w:rPr>
        <w:t>dwadzieścia</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D12178" w:rsidRDefault="00D12178"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 xml:space="preserve">I </w:t>
      </w:r>
      <w:r w:rsidR="00521855" w:rsidRPr="00521855">
        <w:rPr>
          <w:rStyle w:val="Pogrubienie"/>
          <w:rFonts w:ascii="Tahoma" w:hAnsi="Tahoma" w:cs="Tahoma"/>
          <w:b w:val="0"/>
          <w:sz w:val="20"/>
          <w:szCs w:val="20"/>
        </w:rPr>
        <w:t xml:space="preserve">– </w:t>
      </w:r>
      <w:r w:rsidR="00FD08E5">
        <w:rPr>
          <w:rStyle w:val="Pogrubienie"/>
          <w:rFonts w:ascii="Tahoma" w:hAnsi="Tahoma" w:cs="Tahoma"/>
          <w:sz w:val="20"/>
          <w:szCs w:val="20"/>
        </w:rPr>
        <w:t>7</w:t>
      </w:r>
      <w:r w:rsidR="00521855" w:rsidRPr="00521855">
        <w:rPr>
          <w:rStyle w:val="Pogrubienie"/>
          <w:rFonts w:ascii="Tahoma" w:hAnsi="Tahoma" w:cs="Tahoma"/>
          <w:sz w:val="20"/>
          <w:szCs w:val="20"/>
        </w:rPr>
        <w:t> 000</w:t>
      </w:r>
      <w:r w:rsidR="00521855" w:rsidRPr="00521855">
        <w:rPr>
          <w:rStyle w:val="Pogrubienie"/>
          <w:rFonts w:ascii="Tahoma" w:hAnsi="Tahoma" w:cs="Tahoma"/>
          <w:b w:val="0"/>
          <w:sz w:val="20"/>
          <w:szCs w:val="20"/>
        </w:rPr>
        <w:t xml:space="preserve"> zł</w:t>
      </w:r>
      <w:r w:rsidR="00521855">
        <w:rPr>
          <w:rStyle w:val="Pogrubienie"/>
          <w:rFonts w:ascii="Tahoma" w:hAnsi="Tahoma" w:cs="Tahoma"/>
          <w:b w:val="0"/>
          <w:sz w:val="20"/>
          <w:szCs w:val="20"/>
        </w:rPr>
        <w:t xml:space="preserve">(słownie: </w:t>
      </w:r>
      <w:r w:rsidR="00FD08E5">
        <w:rPr>
          <w:rStyle w:val="Pogrubienie"/>
          <w:rFonts w:ascii="Tahoma" w:hAnsi="Tahoma" w:cs="Tahoma"/>
          <w:b w:val="0"/>
          <w:sz w:val="20"/>
          <w:szCs w:val="20"/>
        </w:rPr>
        <w:t>siedem</w:t>
      </w:r>
      <w:r w:rsidR="00521855">
        <w:rPr>
          <w:rStyle w:val="Pogrubienie"/>
          <w:rFonts w:ascii="Tahoma" w:hAnsi="Tahoma" w:cs="Tahoma"/>
          <w:b w:val="0"/>
          <w:sz w:val="20"/>
          <w:szCs w:val="20"/>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wadium (jeżeli wpływ środków </w:t>
      </w:r>
      <w:r w:rsidRPr="00ED6F86">
        <w:rPr>
          <w:rFonts w:ascii="Tahoma" w:hAnsi="Tahoma" w:cs="Tahoma"/>
          <w:noProof w:val="0"/>
          <w:sz w:val="20"/>
          <w:szCs w:val="20"/>
          <w:lang w:val="pl-PL"/>
        </w:rPr>
        <w:lastRenderedPageBreak/>
        <w:t>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521855">
        <w:rPr>
          <w:rFonts w:ascii="Tahoma" w:hAnsi="Tahoma" w:cs="Tahoma"/>
          <w:b/>
          <w:sz w:val="20"/>
          <w:szCs w:val="20"/>
        </w:rPr>
        <w:t>,</w:t>
      </w:r>
      <w:r w:rsidR="00591887">
        <w:rPr>
          <w:rFonts w:ascii="Tahoma" w:hAnsi="Tahoma" w:cs="Tahoma"/>
          <w:b/>
          <w:sz w:val="20"/>
          <w:szCs w:val="20"/>
        </w:rPr>
        <w:t xml:space="preserve"> </w:t>
      </w:r>
      <w:r w:rsidR="00521855">
        <w:rPr>
          <w:rFonts w:ascii="Tahoma" w:hAnsi="Tahoma" w:cs="Tahoma"/>
          <w:b/>
          <w:sz w:val="20"/>
          <w:szCs w:val="20"/>
        </w:rPr>
        <w:t>Część</w:t>
      </w:r>
      <w:r w:rsidR="00591887">
        <w:rPr>
          <w:rFonts w:ascii="Tahoma" w:hAnsi="Tahoma" w:cs="Tahoma"/>
          <w:b/>
          <w:bCs/>
          <w:i/>
          <w:iCs/>
          <w:sz w:val="20"/>
          <w:szCs w:val="20"/>
        </w:rPr>
        <w:t xml:space="preserv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694DED">
        <w:rPr>
          <w:rFonts w:ascii="Tahoma" w:hAnsi="Tahoma" w:cs="Tahoma"/>
          <w:noProof w:val="0"/>
          <w:sz w:val="20"/>
          <w:szCs w:val="20"/>
          <w:lang w:val="pl-PL"/>
        </w:rPr>
        <w:t>3</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3050CC" w:rsidP="00ED6F86">
      <w:pPr>
        <w:autoSpaceDE w:val="0"/>
        <w:autoSpaceDN w:val="0"/>
        <w:adjustRightInd w:val="0"/>
        <w:rPr>
          <w:rFonts w:ascii="Arial" w:hAnsi="Arial" w:cs="Arial"/>
          <w:noProof w:val="0"/>
          <w:sz w:val="20"/>
          <w:szCs w:val="20"/>
          <w:lang w:val="pl-PL"/>
        </w:rPr>
      </w:pPr>
      <w:r w:rsidRPr="003050CC">
        <w:rPr>
          <w:lang w:val="pl-PL"/>
        </w:rPr>
        <w:pict>
          <v:shape id="_x0000_s1040" type="#_x0000_t202" style="position:absolute;margin-left:0;margin-top:8.8pt;width:442.5pt;height:26.05pt;z-index:251654144;mso-wrap-style:none" fillcolor="#ddd">
            <v:textbox style="mso-next-textbox:#_x0000_s1040;mso-fit-shape-to-text:t">
              <w:txbxContent>
                <w:p w:rsidR="00662062" w:rsidRPr="002D71B7" w:rsidRDefault="00662062"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lastRenderedPageBreak/>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EC19C0" w:rsidRDefault="003050CC" w:rsidP="00CE1541">
      <w:pPr>
        <w:autoSpaceDE w:val="0"/>
        <w:autoSpaceDN w:val="0"/>
        <w:adjustRightInd w:val="0"/>
        <w:spacing w:line="360" w:lineRule="auto"/>
        <w:jc w:val="both"/>
        <w:rPr>
          <w:rFonts w:ascii="Tahoma" w:hAnsi="Tahoma" w:cs="Tahoma"/>
          <w:sz w:val="20"/>
          <w:szCs w:val="20"/>
        </w:rPr>
      </w:pPr>
      <w:r w:rsidRPr="003050CC">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662062" w:rsidRPr="00C20AE4" w:rsidRDefault="00662062"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671F2E">
        <w:rPr>
          <w:rFonts w:ascii="Tahoma" w:hAnsi="Tahoma" w:cs="Tahoma"/>
          <w:b/>
          <w:bCs/>
          <w:sz w:val="20"/>
          <w:szCs w:val="20"/>
        </w:rPr>
        <w:t>.</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lastRenderedPageBreak/>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c) konieczność zrealizowania przedmiotu umowy przy zastosowaniu innych rozwiązań technicznych/technologicznych niż wskazane w dokumentacji projektowej lub w specyfikacji technicznej </w:t>
      </w:r>
      <w:r w:rsidRPr="00647917">
        <w:rPr>
          <w:rFonts w:ascii="Tahoma" w:hAnsi="Tahoma" w:cs="Tahoma"/>
          <w:sz w:val="20"/>
          <w:szCs w:val="20"/>
        </w:rPr>
        <w:lastRenderedPageBreak/>
        <w:t>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3050CC" w:rsidP="00073725">
      <w:pPr>
        <w:autoSpaceDE w:val="0"/>
        <w:autoSpaceDN w:val="0"/>
        <w:adjustRightInd w:val="0"/>
        <w:spacing w:line="360" w:lineRule="auto"/>
        <w:jc w:val="both"/>
        <w:rPr>
          <w:rFonts w:ascii="Tahoma" w:hAnsi="Tahoma" w:cs="Tahoma"/>
          <w:i/>
          <w:iCs/>
          <w:sz w:val="20"/>
          <w:szCs w:val="20"/>
        </w:rPr>
      </w:pPr>
      <w:r w:rsidRPr="003050CC">
        <w:rPr>
          <w:lang w:val="pl-PL"/>
        </w:rPr>
        <w:pict>
          <v:shape id="_x0000_s1043" type="#_x0000_t202" style="position:absolute;left:0;text-align:left;margin-left:0;margin-top:17.7pt;width:461.2pt;height:44.15pt;z-index:251656192" fillcolor="#ddd">
            <v:textbox style="mso-fit-shape-to-text:t">
              <w:txbxContent>
                <w:p w:rsidR="00662062" w:rsidRPr="005C1CD8" w:rsidRDefault="00662062"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3050CC" w:rsidP="00BF4C78">
      <w:pPr>
        <w:autoSpaceDE w:val="0"/>
        <w:autoSpaceDN w:val="0"/>
        <w:adjustRightInd w:val="0"/>
        <w:spacing w:line="360" w:lineRule="auto"/>
        <w:rPr>
          <w:rFonts w:ascii="Tahoma" w:hAnsi="Tahoma" w:cs="Tahoma"/>
          <w:color w:val="000000"/>
          <w:sz w:val="20"/>
          <w:szCs w:val="20"/>
        </w:rPr>
      </w:pPr>
      <w:r w:rsidRPr="003050CC">
        <w:rPr>
          <w:lang w:val="pl-PL"/>
        </w:rPr>
        <w:pict>
          <v:shape id="_x0000_s1044" type="#_x0000_t202" style="position:absolute;margin-left:0;margin-top:0;width:477pt;height:44.15pt;z-index:251657216" fillcolor="#ddd">
            <v:textbox style="mso-fit-shape-to-text:t">
              <w:txbxContent>
                <w:p w:rsidR="00662062" w:rsidRPr="003723CB" w:rsidRDefault="00662062"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3050CC" w:rsidP="00C8528C">
      <w:pPr>
        <w:autoSpaceDE w:val="0"/>
        <w:autoSpaceDN w:val="0"/>
        <w:adjustRightInd w:val="0"/>
        <w:spacing w:line="360" w:lineRule="auto"/>
        <w:rPr>
          <w:rFonts w:ascii="Tahoma" w:hAnsi="Tahoma" w:cs="Tahoma"/>
          <w:color w:val="000000"/>
          <w:sz w:val="20"/>
          <w:szCs w:val="20"/>
        </w:rPr>
      </w:pPr>
      <w:r w:rsidRPr="003050CC">
        <w:rPr>
          <w:lang w:val="pl-PL"/>
        </w:rPr>
        <w:pict>
          <v:shape id="_x0000_s1049" type="#_x0000_t202" style="position:absolute;margin-left:0;margin-top:11.7pt;width:477pt;height:26.05pt;z-index:251669504" fillcolor="#ddd">
            <v:textbox style="mso-next-textbox:#_x0000_s1049;mso-fit-shape-to-text:t">
              <w:txbxContent>
                <w:p w:rsidR="00662062" w:rsidRPr="003723CB" w:rsidRDefault="00662062"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 xml:space="preserve">o zwalczaniu nieuczciwej konkurencji (t.j. Dz.U. z 2003 r. Nr 153, poz. 1503, ze zm.), jeżeli Wykonawca, nie później niż w terminie składania ofert, zastrzegł, że nie mogą one być udostępnione </w:t>
      </w:r>
      <w:r w:rsidRPr="00A67E51">
        <w:rPr>
          <w:rFonts w:ascii="Tahoma" w:hAnsi="Tahoma" w:cs="Tahoma"/>
          <w:sz w:val="20"/>
          <w:szCs w:val="20"/>
        </w:rPr>
        <w:lastRenderedPageBreak/>
        <w:t>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3050CC" w:rsidP="00BF4C78">
      <w:pPr>
        <w:autoSpaceDE w:val="0"/>
        <w:autoSpaceDN w:val="0"/>
        <w:adjustRightInd w:val="0"/>
        <w:spacing w:line="360" w:lineRule="auto"/>
        <w:jc w:val="both"/>
        <w:rPr>
          <w:rFonts w:ascii="Tahoma" w:hAnsi="Tahoma" w:cs="Tahoma"/>
          <w:color w:val="000000"/>
          <w:sz w:val="20"/>
          <w:szCs w:val="20"/>
        </w:rPr>
      </w:pPr>
      <w:r w:rsidRPr="003050CC">
        <w:rPr>
          <w:lang w:val="pl-PL"/>
        </w:rPr>
        <w:pict>
          <v:shape id="_x0000_s1045" type="#_x0000_t202" style="position:absolute;left:0;text-align:left;margin-left:0;margin-top:0;width:477pt;height:44.15pt;z-index:251658240" fillcolor="#ddd">
            <v:textbox style="mso-fit-shape-to-text:t">
              <w:txbxContent>
                <w:p w:rsidR="00662062" w:rsidRPr="00DB084A" w:rsidRDefault="00662062"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AC" w:rsidRDefault="005756AC">
      <w:r>
        <w:separator/>
      </w:r>
    </w:p>
  </w:endnote>
  <w:endnote w:type="continuationSeparator" w:id="0">
    <w:p w:rsidR="005756AC" w:rsidRDefault="00575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62" w:rsidRDefault="00662062">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94DED">
      <w:rPr>
        <w:rStyle w:val="Numerstrony"/>
      </w:rPr>
      <w:t>31</w:t>
    </w:r>
    <w:r>
      <w:rPr>
        <w:rStyle w:val="Numerstrony"/>
      </w:rPr>
      <w:fldChar w:fldCharType="end"/>
    </w:r>
  </w:p>
  <w:p w:rsidR="00662062" w:rsidRDefault="006620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AC" w:rsidRDefault="005756AC">
      <w:r>
        <w:separator/>
      </w:r>
    </w:p>
  </w:footnote>
  <w:footnote w:type="continuationSeparator" w:id="0">
    <w:p w:rsidR="005756AC" w:rsidRDefault="00575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62" w:rsidRDefault="00662062"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8"/>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53FB"/>
    <w:rsid w:val="00383333"/>
    <w:rsid w:val="00390DA0"/>
    <w:rsid w:val="00392F27"/>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67D6"/>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7C2F"/>
    <w:rsid w:val="00681953"/>
    <w:rsid w:val="00681AB2"/>
    <w:rsid w:val="0068260B"/>
    <w:rsid w:val="00682735"/>
    <w:rsid w:val="006833C1"/>
    <w:rsid w:val="00684B88"/>
    <w:rsid w:val="00686850"/>
    <w:rsid w:val="00686BE2"/>
    <w:rsid w:val="00694263"/>
    <w:rsid w:val="00694DED"/>
    <w:rsid w:val="006A65DA"/>
    <w:rsid w:val="006A6904"/>
    <w:rsid w:val="006A760C"/>
    <w:rsid w:val="006B1EEE"/>
    <w:rsid w:val="006B27A1"/>
    <w:rsid w:val="006B3639"/>
    <w:rsid w:val="006B4289"/>
    <w:rsid w:val="006B5028"/>
    <w:rsid w:val="006B6F62"/>
    <w:rsid w:val="006C06C0"/>
    <w:rsid w:val="006C2234"/>
    <w:rsid w:val="006C230C"/>
    <w:rsid w:val="006C4D42"/>
    <w:rsid w:val="006C5766"/>
    <w:rsid w:val="006D344A"/>
    <w:rsid w:val="006D7115"/>
    <w:rsid w:val="006D7F13"/>
    <w:rsid w:val="006E2CF2"/>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800252"/>
    <w:rsid w:val="00801567"/>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2CF7"/>
    <w:rsid w:val="00953977"/>
    <w:rsid w:val="009543BA"/>
    <w:rsid w:val="0095748E"/>
    <w:rsid w:val="009626A5"/>
    <w:rsid w:val="009648E8"/>
    <w:rsid w:val="009670BF"/>
    <w:rsid w:val="00974076"/>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422A"/>
    <w:rsid w:val="00F757B2"/>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0D523-0E75-40DA-AD46-A86C03D5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31</Pages>
  <Words>11621</Words>
  <Characters>69732</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81191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38</cp:revision>
  <cp:lastPrinted>2017-10-02T05:43:00Z</cp:lastPrinted>
  <dcterms:created xsi:type="dcterms:W3CDTF">2017-09-18T08:25:00Z</dcterms:created>
  <dcterms:modified xsi:type="dcterms:W3CDTF">2017-11-16T08:40:00Z</dcterms:modified>
</cp:coreProperties>
</file>