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172D61"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w:t>
      </w:r>
      <w:r w:rsidR="0018427B">
        <w:rPr>
          <w:rFonts w:ascii="Tahoma" w:hAnsi="Tahoma" w:cs="Tahoma"/>
          <w:kern w:val="1"/>
          <w:sz w:val="20"/>
          <w:szCs w:val="20"/>
          <w:shd w:val="clear" w:color="auto" w:fill="FFFFFF"/>
        </w:rPr>
        <w:t>3</w:t>
      </w:r>
      <w:r w:rsidR="007F3ED9">
        <w:rPr>
          <w:rFonts w:ascii="Tahoma" w:hAnsi="Tahoma" w:cs="Tahoma"/>
          <w:kern w:val="1"/>
          <w:sz w:val="20"/>
          <w:szCs w:val="20"/>
          <w:shd w:val="clear" w:color="auto" w:fill="FFFFFF"/>
        </w:rPr>
        <w:t>.</w:t>
      </w:r>
      <w:r w:rsidR="0018427B">
        <w:rPr>
          <w:rFonts w:ascii="Tahoma" w:hAnsi="Tahoma" w:cs="Tahoma"/>
          <w:kern w:val="1"/>
          <w:sz w:val="20"/>
          <w:szCs w:val="20"/>
          <w:shd w:val="clear" w:color="auto" w:fill="FFFFFF"/>
        </w:rPr>
        <w:t>3</w:t>
      </w:r>
      <w:r w:rsidR="003E2FDD">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0082392E" w:rsidRPr="00E3702C">
        <w:rPr>
          <w:rFonts w:ascii="Tahoma" w:hAnsi="Tahoma" w:cs="Tahoma"/>
          <w:b/>
          <w:sz w:val="20"/>
          <w:szCs w:val="20"/>
        </w:rPr>
        <w:t>201</w:t>
      </w:r>
      <w:r w:rsidR="00E3702C" w:rsidRPr="00E3702C">
        <w:rPr>
          <w:rFonts w:ascii="Tahoma" w:hAnsi="Tahoma" w:cs="Tahoma"/>
          <w:b/>
          <w:sz w:val="20"/>
          <w:szCs w:val="20"/>
        </w:rPr>
        <w:t>7</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1311A0"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nw. budynki:</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sz w:val="20"/>
          <w:szCs w:val="20"/>
        </w:rPr>
        <w:t xml:space="preserve">1. </w:t>
      </w:r>
      <w:r w:rsidRPr="001311A0">
        <w:rPr>
          <w:rFonts w:ascii="Tahoma" w:hAnsi="Tahoma" w:cs="Tahoma"/>
          <w:iCs/>
          <w:sz w:val="20"/>
          <w:szCs w:val="20"/>
        </w:rPr>
        <w:t>Zespół Szkół i Placówek Oświatowych w Lidzbarku Warmińskim (ul.  Wierzbickiego 3A),</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iCs/>
          <w:sz w:val="20"/>
          <w:szCs w:val="20"/>
        </w:rPr>
        <w:t>2. Specjalny Ośrodek Szkolno-Wychowawczy w Lidzbarku Warmińskim (ul. Szkolna 3),</w:t>
      </w:r>
    </w:p>
    <w:p w:rsidR="001311A0" w:rsidRPr="001311A0" w:rsidRDefault="001311A0" w:rsidP="003A5204">
      <w:pPr>
        <w:spacing w:line="276" w:lineRule="auto"/>
        <w:jc w:val="both"/>
        <w:rPr>
          <w:rFonts w:ascii="Tahoma" w:hAnsi="Tahoma" w:cs="Tahoma"/>
          <w:bCs/>
          <w:sz w:val="20"/>
          <w:szCs w:val="20"/>
        </w:rPr>
      </w:pPr>
      <w:r w:rsidRPr="001311A0">
        <w:rPr>
          <w:rFonts w:ascii="Tahoma" w:hAnsi="Tahoma" w:cs="Tahoma"/>
          <w:iCs/>
          <w:sz w:val="20"/>
          <w:szCs w:val="20"/>
        </w:rPr>
        <w:t xml:space="preserve">3. Budynek administracyjny w Lidzbarku Warmińskim (ul. </w:t>
      </w:r>
      <w:r w:rsidRPr="001311A0">
        <w:rPr>
          <w:rFonts w:ascii="Tahoma" w:hAnsi="Tahoma" w:cs="Tahoma"/>
          <w:bCs/>
          <w:sz w:val="20"/>
          <w:szCs w:val="20"/>
        </w:rPr>
        <w:t>Wyszyńskiego 20),</w:t>
      </w: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72464C" w:rsidRPr="00A033E3" w:rsidRDefault="007F3ED9" w:rsidP="0072464C">
      <w:pPr>
        <w:pStyle w:val="Akapitzlist3"/>
        <w:widowControl w:val="0"/>
        <w:spacing w:after="0"/>
        <w:ind w:left="0"/>
        <w:jc w:val="both"/>
        <w:rPr>
          <w:rFonts w:ascii="Tahoma" w:hAnsi="Tahoma" w:cs="Tahoma"/>
          <w:u w:val="single"/>
        </w:rPr>
      </w:pPr>
      <w:r w:rsidRPr="008B5E2C">
        <w:rPr>
          <w:rFonts w:ascii="Tahoma" w:hAnsi="Tahoma" w:cs="Tahoma"/>
        </w:rPr>
        <w:t xml:space="preserve">Przedmiotem inwestycji </w:t>
      </w:r>
      <w:r w:rsidR="003A5204">
        <w:rPr>
          <w:rFonts w:ascii="Tahoma" w:hAnsi="Tahoma" w:cs="Tahoma"/>
        </w:rPr>
        <w:t xml:space="preserve">jest kompleksowa modernizacja energetyczna 4 budynków użyteczności publicznej. </w:t>
      </w:r>
      <w:r w:rsidR="003A5204" w:rsidRPr="004F0FBB">
        <w:rPr>
          <w:rFonts w:ascii="Tahoma" w:hAnsi="Tahoma" w:cs="Tahoma"/>
        </w:rPr>
        <w:t>Zakres zamówie</w:t>
      </w:r>
      <w:r w:rsidR="00172D61">
        <w:rPr>
          <w:rFonts w:ascii="Tahoma" w:hAnsi="Tahoma" w:cs="Tahoma"/>
        </w:rPr>
        <w:t xml:space="preserve">nia podzielono na cztery części. </w:t>
      </w:r>
      <w:r w:rsidR="00172D61" w:rsidRPr="00A033E3">
        <w:rPr>
          <w:rFonts w:ascii="Tahoma" w:hAnsi="Tahoma" w:cs="Tahoma"/>
          <w:u w:val="single"/>
        </w:rPr>
        <w:t>Przedmiotem niniejszej umowy jest Część I</w:t>
      </w:r>
      <w:r w:rsidR="0018427B">
        <w:rPr>
          <w:rFonts w:ascii="Tahoma" w:hAnsi="Tahoma" w:cs="Tahoma"/>
          <w:u w:val="single"/>
        </w:rPr>
        <w:t>II</w:t>
      </w:r>
      <w:r w:rsidR="0072464C" w:rsidRPr="00A033E3">
        <w:rPr>
          <w:rFonts w:ascii="Tahoma" w:hAnsi="Tahoma" w:cs="Tahoma"/>
          <w:u w:val="single"/>
        </w:rPr>
        <w:t xml:space="preserve"> - Budynek administracyjny przy ul. Wyszyńskiego 20 w Lidzbarku Warmińskim</w:t>
      </w:r>
      <w:r w:rsidR="009E43C0" w:rsidRPr="00A033E3">
        <w:rPr>
          <w:rFonts w:ascii="Tahoma" w:hAnsi="Tahoma" w:cs="Tahoma"/>
          <w:u w:val="single"/>
        </w:rPr>
        <w:t>.</w:t>
      </w:r>
    </w:p>
    <w:p w:rsidR="0072464C" w:rsidRPr="0072464C" w:rsidRDefault="0072464C" w:rsidP="0072464C">
      <w:pPr>
        <w:autoSpaceDE w:val="0"/>
        <w:adjustRightInd w:val="0"/>
        <w:spacing w:line="360" w:lineRule="auto"/>
        <w:jc w:val="both"/>
        <w:rPr>
          <w:rFonts w:ascii="Tahoma" w:hAnsi="Tahoma" w:cs="Tahoma"/>
          <w:sz w:val="4"/>
          <w:szCs w:val="4"/>
        </w:rPr>
      </w:pPr>
    </w:p>
    <w:p w:rsidR="0072464C" w:rsidRPr="0072464C" w:rsidRDefault="0072464C" w:rsidP="0072464C">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remont / wymiana stolarki drzwiowej</w:t>
      </w:r>
      <w:r>
        <w:rPr>
          <w:rFonts w:ascii="Tahoma" w:hAnsi="Tahoma" w:cs="Tahoma"/>
          <w:sz w:val="20"/>
          <w:szCs w:val="20"/>
        </w:rPr>
        <w:t xml:space="preserve"> zewnętrznej</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wymiana / odnowienie stolarki okiennej, montaż nawiewników</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docieplenie przegród od środka budynku</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instalacja podnośnika dla osób niepełnosprawnych</w:t>
      </w:r>
    </w:p>
    <w:p w:rsidR="00D63E72" w:rsidRPr="0053429E" w:rsidRDefault="00D63E72" w:rsidP="00D63E72">
      <w:pPr>
        <w:pStyle w:val="Akapitzlist"/>
        <w:numPr>
          <w:ilvl w:val="0"/>
          <w:numId w:val="17"/>
        </w:numPr>
        <w:spacing w:after="160" w:line="250" w:lineRule="auto"/>
        <w:contextualSpacing/>
        <w:jc w:val="both"/>
        <w:rPr>
          <w:rFonts w:ascii="Tahoma" w:hAnsi="Tahoma" w:cs="Tahoma"/>
          <w:sz w:val="20"/>
          <w:szCs w:val="20"/>
        </w:rPr>
      </w:pPr>
      <w:r w:rsidRPr="0053429E">
        <w:rPr>
          <w:rFonts w:ascii="Tahoma" w:hAnsi="Tahoma" w:cs="Tahoma"/>
          <w:sz w:val="20"/>
          <w:szCs w:val="20"/>
        </w:rPr>
        <w:t>udrożnienie wszystkich kanałów wentylacyjnych</w:t>
      </w:r>
    </w:p>
    <w:p w:rsidR="00D63E72"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c.o., w miejscu istniejącej kotłowni węglowej montaż węzła cieplnego, podłączenie budynku do sieci ciepłowniczej, likwidacja istniejącej kotłowni węglowej</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 xml:space="preserve">wymiana / budowa instalacji elektrycznych wzbogaconych m.in. o oświetlenie ledowe </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lastRenderedPageBreak/>
        <w:t>remont i konserwacja wieżyczki nad klatką schodową</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pokrycia i remont dachu wraz z wymianą obróbek blacharskich i systemu orynnowania</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odgromowej</w:t>
      </w:r>
    </w:p>
    <w:p w:rsidR="00D63E72" w:rsidRPr="009B6C73" w:rsidRDefault="00D63E72" w:rsidP="009B6C73">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bCs/>
          <w:sz w:val="20"/>
          <w:szCs w:val="20"/>
        </w:rPr>
        <w:t>pozostałe prace remontowe</w:t>
      </w:r>
    </w:p>
    <w:p w:rsidR="00E060DE" w:rsidRPr="00172D61" w:rsidRDefault="00E060DE" w:rsidP="00851E97">
      <w:pPr>
        <w:autoSpaceDE w:val="0"/>
        <w:adjustRightInd w:val="0"/>
        <w:spacing w:line="276" w:lineRule="auto"/>
        <w:jc w:val="both"/>
        <w:rPr>
          <w:rFonts w:ascii="Tahoma" w:hAnsi="Tahoma" w:cs="Tahoma"/>
          <w:b/>
          <w:sz w:val="20"/>
          <w:szCs w:val="20"/>
          <w:u w:val="single"/>
        </w:rPr>
      </w:pPr>
      <w:r w:rsidRPr="00E3702C">
        <w:rPr>
          <w:rFonts w:ascii="Tahoma" w:hAnsi="Tahoma" w:cs="Tahoma"/>
          <w:sz w:val="20"/>
          <w:szCs w:val="20"/>
        </w:rPr>
        <w:t>2</w:t>
      </w:r>
      <w:r w:rsidR="00DE0E65" w:rsidRPr="00E3702C">
        <w:rPr>
          <w:rFonts w:ascii="Tahoma" w:hAnsi="Tahoma" w:cs="Tahoma"/>
          <w:sz w:val="20"/>
          <w:szCs w:val="20"/>
        </w:rPr>
        <w:t xml:space="preserve">. </w:t>
      </w:r>
      <w:r w:rsidR="00E0127A" w:rsidRPr="00E3702C">
        <w:rPr>
          <w:rFonts w:ascii="Tahoma" w:hAnsi="Tahoma" w:cs="Tahoma"/>
          <w:sz w:val="20"/>
          <w:szCs w:val="20"/>
        </w:rPr>
        <w:t>Szczegółowy zakres robót objętych niniejszą umową określony jest</w:t>
      </w:r>
      <w:r w:rsidR="00100872" w:rsidRPr="00E3702C">
        <w:rPr>
          <w:rFonts w:ascii="Tahoma" w:hAnsi="Tahoma" w:cs="Tahoma"/>
          <w:sz w:val="20"/>
          <w:szCs w:val="20"/>
        </w:rPr>
        <w:t xml:space="preserve"> przedmiarem robót,</w:t>
      </w:r>
      <w:r w:rsidR="00E0127A" w:rsidRPr="00E3702C">
        <w:rPr>
          <w:rFonts w:ascii="Tahoma" w:hAnsi="Tahoma" w:cs="Tahoma"/>
          <w:sz w:val="20"/>
          <w:szCs w:val="20"/>
        </w:rPr>
        <w:t xml:space="preserve"> dokumentacją projektową, specyfikacją  technicz</w:t>
      </w:r>
      <w:r w:rsidR="00FF48CA" w:rsidRPr="00E3702C">
        <w:rPr>
          <w:rFonts w:ascii="Tahoma" w:hAnsi="Tahoma" w:cs="Tahoma"/>
          <w:sz w:val="20"/>
          <w:szCs w:val="20"/>
        </w:rPr>
        <w:t>n</w:t>
      </w:r>
      <w:r w:rsidR="0042619D" w:rsidRPr="00E3702C">
        <w:rPr>
          <w:rFonts w:ascii="Tahoma" w:hAnsi="Tahoma" w:cs="Tahoma"/>
          <w:sz w:val="20"/>
          <w:szCs w:val="20"/>
        </w:rPr>
        <w:t xml:space="preserve">ą </w:t>
      </w:r>
      <w:r w:rsidR="00E3702C">
        <w:rPr>
          <w:rFonts w:ascii="Tahoma" w:hAnsi="Tahoma" w:cs="Tahoma"/>
          <w:sz w:val="20"/>
          <w:szCs w:val="20"/>
        </w:rPr>
        <w:t>wykonania i odbioru robót</w:t>
      </w:r>
      <w:r w:rsidR="00366767">
        <w:rPr>
          <w:rFonts w:ascii="Tahoma" w:hAnsi="Tahoma" w:cs="Tahoma"/>
          <w:sz w:val="20"/>
          <w:szCs w:val="20"/>
        </w:rPr>
        <w:t xml:space="preserve">, </w:t>
      </w:r>
      <w:r w:rsidR="0042619D" w:rsidRPr="00E3702C">
        <w:rPr>
          <w:rFonts w:ascii="Tahoma" w:hAnsi="Tahoma" w:cs="Tahoma"/>
          <w:sz w:val="20"/>
          <w:szCs w:val="20"/>
        </w:rPr>
        <w:t xml:space="preserve">oraz ofertą  </w:t>
      </w:r>
      <w:r w:rsidR="0082392E" w:rsidRPr="00E3702C">
        <w:rPr>
          <w:rFonts w:ascii="Tahoma" w:hAnsi="Tahoma" w:cs="Tahoma"/>
          <w:sz w:val="20"/>
          <w:szCs w:val="20"/>
        </w:rPr>
        <w:t xml:space="preserve">z dnia </w:t>
      </w:r>
      <w:r w:rsidR="00166998" w:rsidRPr="00E3702C">
        <w:rPr>
          <w:rFonts w:ascii="Tahoma" w:hAnsi="Tahoma" w:cs="Tahoma"/>
          <w:sz w:val="20"/>
          <w:szCs w:val="20"/>
        </w:rPr>
        <w:t>……………………201</w:t>
      </w:r>
      <w:r w:rsidR="00E3702C">
        <w:rPr>
          <w:rFonts w:ascii="Tahoma" w:hAnsi="Tahoma" w:cs="Tahoma"/>
          <w:sz w:val="20"/>
          <w:szCs w:val="20"/>
        </w:rPr>
        <w:t>7</w:t>
      </w:r>
      <w:r w:rsidR="00E0127A" w:rsidRPr="00E3702C">
        <w:rPr>
          <w:rFonts w:ascii="Tahoma" w:hAnsi="Tahoma" w:cs="Tahoma"/>
          <w:sz w:val="20"/>
          <w:szCs w:val="20"/>
        </w:rPr>
        <w:t xml:space="preserve"> r.</w:t>
      </w:r>
      <w:r w:rsidR="00DE0E65" w:rsidRPr="00E3702C">
        <w:rPr>
          <w:rFonts w:ascii="Tahoma" w:hAnsi="Tahoma" w:cs="Tahoma"/>
          <w:sz w:val="20"/>
          <w:szCs w:val="20"/>
        </w:rPr>
        <w:t xml:space="preserve"> </w:t>
      </w:r>
      <w:r w:rsidR="008779A1" w:rsidRPr="00E3702C">
        <w:rPr>
          <w:rFonts w:ascii="Tahoma" w:hAnsi="Tahoma" w:cs="Tahoma"/>
          <w:sz w:val="20"/>
          <w:szCs w:val="20"/>
        </w:rPr>
        <w:t xml:space="preserve"> </w:t>
      </w:r>
      <w:r w:rsidR="00172D61" w:rsidRPr="00172D61">
        <w:rPr>
          <w:rFonts w:ascii="Tahoma" w:hAnsi="Tahoma" w:cs="Tahoma"/>
          <w:sz w:val="20"/>
          <w:szCs w:val="20"/>
        </w:rPr>
        <w:t xml:space="preserve">Zamawiający informuje, że przedmiot zamówienia został podzielony na dwa etapy. Przedmiotem niniejszego postępowania jest tylko </w:t>
      </w:r>
      <w:r w:rsidR="00D63E72">
        <w:rPr>
          <w:rFonts w:ascii="Tahoma" w:hAnsi="Tahoma" w:cs="Tahoma"/>
          <w:sz w:val="20"/>
          <w:szCs w:val="20"/>
        </w:rPr>
        <w:t>zakres</w:t>
      </w:r>
      <w:r w:rsidR="00172D61" w:rsidRPr="00172D61">
        <w:rPr>
          <w:rFonts w:ascii="Tahoma" w:hAnsi="Tahoma" w:cs="Tahoma"/>
          <w:sz w:val="20"/>
          <w:szCs w:val="20"/>
        </w:rPr>
        <w:t>, któr</w:t>
      </w:r>
      <w:r w:rsidR="00D63E72">
        <w:rPr>
          <w:rFonts w:ascii="Tahoma" w:hAnsi="Tahoma" w:cs="Tahoma"/>
          <w:sz w:val="20"/>
          <w:szCs w:val="20"/>
        </w:rPr>
        <w:t>y</w:t>
      </w:r>
      <w:r w:rsidR="00172D61" w:rsidRPr="00172D61">
        <w:rPr>
          <w:rFonts w:ascii="Tahoma" w:hAnsi="Tahoma" w:cs="Tahoma"/>
          <w:sz w:val="20"/>
          <w:szCs w:val="20"/>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lastRenderedPageBreak/>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417D1B"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lastRenderedPageBreak/>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046D79" w:rsidRPr="003E2FDD" w:rsidRDefault="00E0127A" w:rsidP="003E2FDD">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3E2FDD">
      <w:pPr>
        <w:spacing w:line="276" w:lineRule="auto"/>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powinien niezwłocznie informować Zamawiającego o przewidywanych wydarzeniach lub okolicznościach, które mogą negatywnie wpłynąć na prace lub opóźnić ich wykonanie.</w:t>
      </w:r>
    </w:p>
    <w:p w:rsidR="004A3B83" w:rsidRDefault="004A3B83" w:rsidP="003E2FDD">
      <w:pPr>
        <w:spacing w:line="276" w:lineRule="auto"/>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lastRenderedPageBreak/>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pkt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18227A"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18227A" w:rsidRPr="0064432E" w:rsidRDefault="0018227A" w:rsidP="003A5204">
      <w:pPr>
        <w:spacing w:line="276" w:lineRule="auto"/>
        <w:jc w:val="center"/>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853FF9" w:rsidRPr="0064432E" w:rsidRDefault="00425A9F" w:rsidP="003A5204">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A5204">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A5204">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Wykonawca niniejszym zrzeka się w sposób wyraźny wszelkich praw, w tym do wnoszenia roszczeń związanych lub wynikających ze wzrostu cen materiałów, dóbr, energii, paliw, kosztów robocizny lub innych kosztów związanych z wykonaniem robót.</w:t>
      </w:r>
    </w:p>
    <w:p w:rsidR="0048570B" w:rsidRPr="0048570B" w:rsidRDefault="0048570B" w:rsidP="003A5204">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lastRenderedPageBreak/>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047F04" w:rsidRDefault="00047F04" w:rsidP="00047F04">
      <w:pPr>
        <w:pStyle w:val="Standard"/>
        <w:tabs>
          <w:tab w:val="left" w:pos="567"/>
        </w:tabs>
        <w:suppressAutoHyphens w:val="0"/>
        <w:spacing w:line="276" w:lineRule="auto"/>
        <w:ind w:left="567" w:hanging="567"/>
        <w:jc w:val="both"/>
        <w:rPr>
          <w:rFonts w:ascii="Tahoma" w:hAnsi="Tahoma" w:cs="Tahoma"/>
          <w:sz w:val="20"/>
          <w:szCs w:val="20"/>
        </w:rPr>
      </w:pPr>
      <w:r>
        <w:rPr>
          <w:rFonts w:ascii="Tahoma" w:hAnsi="Tahoma" w:cs="Tahoma"/>
          <w:sz w:val="20"/>
          <w:szCs w:val="20"/>
        </w:rPr>
        <w:t xml:space="preserve">3. </w:t>
      </w:r>
      <w:r w:rsidRPr="003D15AD">
        <w:rPr>
          <w:rFonts w:ascii="Tahoma" w:hAnsi="Tahoma" w:cs="Tahoma"/>
          <w:sz w:val="20"/>
          <w:szCs w:val="20"/>
        </w:rPr>
        <w:t xml:space="preserve">Rozliczenie finansowe za bezusterkowe wykonanie przedmiotu umowy nastąpi: </w:t>
      </w:r>
    </w:p>
    <w:p w:rsidR="00047F04" w:rsidRDefault="00047F04" w:rsidP="00047F04">
      <w:pPr>
        <w:pStyle w:val="Standard"/>
        <w:tabs>
          <w:tab w:val="left" w:pos="567"/>
        </w:tabs>
        <w:suppressAutoHyphens w:val="0"/>
        <w:spacing w:line="276" w:lineRule="auto"/>
        <w:ind w:left="567" w:hanging="283"/>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047F04" w:rsidRDefault="00047F04" w:rsidP="00047F04">
      <w:pPr>
        <w:pStyle w:val="Standard"/>
        <w:tabs>
          <w:tab w:val="left" w:pos="284"/>
        </w:tabs>
        <w:suppressAutoHyphens w:val="0"/>
        <w:spacing w:line="276" w:lineRule="auto"/>
        <w:jc w:val="both"/>
        <w:rPr>
          <w:rFonts w:ascii="Tahoma" w:hAnsi="Tahoma" w:cs="Tahoma"/>
          <w:sz w:val="20"/>
        </w:rPr>
      </w:pPr>
      <w:r>
        <w:rPr>
          <w:rFonts w:ascii="Tahoma" w:hAnsi="Tahoma" w:cs="Tahoma"/>
          <w:sz w:val="20"/>
          <w:szCs w:val="20"/>
        </w:rPr>
        <w:t xml:space="preserve">     b</w:t>
      </w:r>
      <w:r w:rsidRPr="003D15AD">
        <w:rPr>
          <w:rFonts w:ascii="Tahoma" w:hAnsi="Tahoma" w:cs="Tahoma"/>
          <w:sz w:val="20"/>
          <w:szCs w:val="20"/>
        </w:rPr>
        <w:t>) fakturą wystawioną po dokonanym odbiorze końcowym robót na pozostałą kwotę.</w:t>
      </w:r>
      <w:r>
        <w:t xml:space="preserve"> </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Zamawiającego o zamiarze dokonania płatności w sposób określony powyżej, uprawniony jest do zgłoszenie </w:t>
      </w:r>
      <w:r w:rsidR="00FD262F">
        <w:rPr>
          <w:rFonts w:ascii="Tahoma" w:hAnsi="Tahoma" w:cs="Tahoma"/>
          <w:sz w:val="20"/>
        </w:rPr>
        <w:t>w formie pisemnej</w:t>
      </w:r>
      <w:r w:rsidR="0048570B"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A823B3" w:rsidRDefault="00A823B3" w:rsidP="003A5204">
      <w:pPr>
        <w:spacing w:line="276" w:lineRule="auto"/>
        <w:jc w:val="both"/>
        <w:rPr>
          <w:rFonts w:ascii="Tahoma" w:hAnsi="Tahoma" w:cs="Tahoma"/>
          <w:sz w:val="20"/>
          <w:szCs w:val="20"/>
        </w:rPr>
      </w:pPr>
    </w:p>
    <w:p w:rsidR="00A823B3" w:rsidRPr="00440524" w:rsidRDefault="00A823B3" w:rsidP="003A5204">
      <w:pPr>
        <w:spacing w:line="276" w:lineRule="auto"/>
        <w:jc w:val="both"/>
        <w:rPr>
          <w:rFonts w:ascii="Tahoma" w:hAnsi="Tahoma" w:cs="Tahoma"/>
          <w:sz w:val="20"/>
          <w:szCs w:val="20"/>
        </w:rPr>
      </w:pP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lastRenderedPageBreak/>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E0127A" w:rsidRPr="0064432E" w:rsidRDefault="00E0127A" w:rsidP="003A5204">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57124" w:rsidRPr="0064432E" w:rsidRDefault="00C57124" w:rsidP="003A5204">
      <w:pPr>
        <w:pStyle w:val="Tekstpodstawowy"/>
        <w:spacing w:line="276" w:lineRule="auto"/>
        <w:rPr>
          <w:rFonts w:ascii="Tahoma" w:hAnsi="Tahoma" w:cs="Tahoma"/>
          <w:sz w:val="20"/>
        </w:rPr>
      </w:pP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Pr="00650DCD">
        <w:rPr>
          <w:rFonts w:ascii="Tahoma" w:hAnsi="Tahoma" w:cs="Tahoma"/>
          <w:color w:val="000000"/>
          <w:sz w:val="20"/>
          <w:szCs w:val="20"/>
        </w:rPr>
        <w:t>rzedmiot</w:t>
      </w:r>
      <w:r w:rsidR="003E2FDD">
        <w:rPr>
          <w:rFonts w:ascii="Tahoma" w:hAnsi="Tahoma" w:cs="Tahoma"/>
          <w:color w:val="000000"/>
          <w:sz w:val="20"/>
          <w:szCs w:val="20"/>
        </w:rPr>
        <w: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może odnosić się do całej umowy lub tylko do części jeszcze nie wykonanej przez Wykonawcę.</w:t>
      </w:r>
    </w:p>
    <w:p w:rsidR="003E2FDD" w:rsidRPr="0064432E" w:rsidRDefault="003E2FDD" w:rsidP="003E2FDD">
      <w:pPr>
        <w:pStyle w:val="Standard"/>
        <w:tabs>
          <w:tab w:val="left" w:pos="284"/>
        </w:tabs>
        <w:suppressAutoHyphens w:val="0"/>
        <w:autoSpaceDE/>
        <w:autoSpaceDN w:val="0"/>
        <w:spacing w:line="276" w:lineRule="auto"/>
        <w:ind w:left="284"/>
        <w:jc w:val="both"/>
        <w:textAlignment w:val="baseline"/>
        <w:rPr>
          <w:rFonts w:ascii="Tahoma" w:hAnsi="Tahoma" w:cs="Tahoma"/>
          <w:sz w:val="20"/>
          <w:szCs w:val="20"/>
        </w:rPr>
      </w:pP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lastRenderedPageBreak/>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A54887" w:rsidRPr="0064432E" w:rsidRDefault="00A54887" w:rsidP="00E42EA0">
      <w:pPr>
        <w:pStyle w:val="Tekstpodstawowy"/>
        <w:spacing w:after="0" w:line="276" w:lineRule="auto"/>
        <w:rPr>
          <w:rFonts w:ascii="Tahoma" w:hAnsi="Tahoma" w:cs="Tahoma"/>
          <w:bCs/>
          <w:sz w:val="20"/>
        </w:rPr>
      </w:pPr>
    </w:p>
    <w:p w:rsidR="003E2FDD" w:rsidRDefault="003E2FDD" w:rsidP="003A5204">
      <w:pPr>
        <w:pStyle w:val="Nagwek6"/>
        <w:spacing w:line="276" w:lineRule="auto"/>
        <w:jc w:val="center"/>
        <w:rPr>
          <w:rFonts w:ascii="Tahoma" w:hAnsi="Tahoma" w:cs="Tahoma"/>
          <w:sz w:val="20"/>
          <w:szCs w:val="20"/>
        </w:rPr>
      </w:pP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lastRenderedPageBreak/>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B728C6">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2013 r. poz. 907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46202F" w:rsidRPr="00BC695C" w:rsidRDefault="0046202F" w:rsidP="003A5204">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647917" w:rsidRDefault="00647917" w:rsidP="003A5204">
      <w:pPr>
        <w:spacing w:line="276" w:lineRule="auto"/>
        <w:jc w:val="both"/>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lastRenderedPageBreak/>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C12" w:rsidRDefault="00D72C12">
      <w:r>
        <w:separator/>
      </w:r>
    </w:p>
  </w:endnote>
  <w:endnote w:type="continuationSeparator" w:id="0">
    <w:p w:rsidR="00D72C12" w:rsidRDefault="00D72C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4E518A"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4E518A"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346E0E">
      <w:rPr>
        <w:rStyle w:val="Numerstrony"/>
        <w:noProof/>
      </w:rPr>
      <w:t>2</w:t>
    </w:r>
    <w:r>
      <w:rPr>
        <w:rStyle w:val="Numerstrony"/>
      </w:rPr>
      <w:fldChar w:fldCharType="end"/>
    </w:r>
  </w:p>
  <w:p w:rsidR="00E42EA0" w:rsidRDefault="004E518A"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C12" w:rsidRDefault="00D72C12">
      <w:r>
        <w:separator/>
      </w:r>
    </w:p>
  </w:footnote>
  <w:footnote w:type="continuationSeparator" w:id="0">
    <w:p w:rsidR="00D72C12" w:rsidRDefault="00D72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14338"/>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6539"/>
    <w:rsid w:val="0003691D"/>
    <w:rsid w:val="00046D79"/>
    <w:rsid w:val="000473EB"/>
    <w:rsid w:val="00047F04"/>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236CF"/>
    <w:rsid w:val="00125155"/>
    <w:rsid w:val="001311A0"/>
    <w:rsid w:val="00136EB7"/>
    <w:rsid w:val="00137676"/>
    <w:rsid w:val="0014006F"/>
    <w:rsid w:val="00140946"/>
    <w:rsid w:val="001451D0"/>
    <w:rsid w:val="001475C5"/>
    <w:rsid w:val="00150E78"/>
    <w:rsid w:val="0015326F"/>
    <w:rsid w:val="001573DB"/>
    <w:rsid w:val="0016224C"/>
    <w:rsid w:val="00163B5D"/>
    <w:rsid w:val="00166998"/>
    <w:rsid w:val="00170928"/>
    <w:rsid w:val="00172D61"/>
    <w:rsid w:val="0018227A"/>
    <w:rsid w:val="0018427B"/>
    <w:rsid w:val="00187EEA"/>
    <w:rsid w:val="00191668"/>
    <w:rsid w:val="0019377D"/>
    <w:rsid w:val="001A0BFC"/>
    <w:rsid w:val="001A33F5"/>
    <w:rsid w:val="001A3DE5"/>
    <w:rsid w:val="001B64D4"/>
    <w:rsid w:val="001B7129"/>
    <w:rsid w:val="001B764F"/>
    <w:rsid w:val="001C3FED"/>
    <w:rsid w:val="001C6E0D"/>
    <w:rsid w:val="001D15B9"/>
    <w:rsid w:val="001D1808"/>
    <w:rsid w:val="001D2CF9"/>
    <w:rsid w:val="001D2D11"/>
    <w:rsid w:val="001E4016"/>
    <w:rsid w:val="001E6D2E"/>
    <w:rsid w:val="001E6E99"/>
    <w:rsid w:val="001F05AA"/>
    <w:rsid w:val="001F0A79"/>
    <w:rsid w:val="001F173E"/>
    <w:rsid w:val="001F5361"/>
    <w:rsid w:val="001F5701"/>
    <w:rsid w:val="0020479B"/>
    <w:rsid w:val="00204E23"/>
    <w:rsid w:val="00217BBA"/>
    <w:rsid w:val="00220233"/>
    <w:rsid w:val="0022201E"/>
    <w:rsid w:val="00222FB1"/>
    <w:rsid w:val="00225962"/>
    <w:rsid w:val="00243A1F"/>
    <w:rsid w:val="00243BD6"/>
    <w:rsid w:val="00252882"/>
    <w:rsid w:val="00253273"/>
    <w:rsid w:val="002660CE"/>
    <w:rsid w:val="00266DDD"/>
    <w:rsid w:val="002724B8"/>
    <w:rsid w:val="002730E3"/>
    <w:rsid w:val="00282CFE"/>
    <w:rsid w:val="00282DE2"/>
    <w:rsid w:val="0029098A"/>
    <w:rsid w:val="002938E3"/>
    <w:rsid w:val="00293C59"/>
    <w:rsid w:val="00296094"/>
    <w:rsid w:val="002D15C5"/>
    <w:rsid w:val="002D1615"/>
    <w:rsid w:val="002E221D"/>
    <w:rsid w:val="002E6945"/>
    <w:rsid w:val="00301E7B"/>
    <w:rsid w:val="00303EA2"/>
    <w:rsid w:val="003049E5"/>
    <w:rsid w:val="00310705"/>
    <w:rsid w:val="00311B38"/>
    <w:rsid w:val="003157CF"/>
    <w:rsid w:val="0031716B"/>
    <w:rsid w:val="00322268"/>
    <w:rsid w:val="00322A9F"/>
    <w:rsid w:val="00324C25"/>
    <w:rsid w:val="00326A65"/>
    <w:rsid w:val="0033015A"/>
    <w:rsid w:val="00330F55"/>
    <w:rsid w:val="0033550E"/>
    <w:rsid w:val="0033777F"/>
    <w:rsid w:val="00340769"/>
    <w:rsid w:val="00345560"/>
    <w:rsid w:val="00345BC1"/>
    <w:rsid w:val="00346E0E"/>
    <w:rsid w:val="00354221"/>
    <w:rsid w:val="00355C39"/>
    <w:rsid w:val="00366767"/>
    <w:rsid w:val="00367E0D"/>
    <w:rsid w:val="003740C8"/>
    <w:rsid w:val="003753C7"/>
    <w:rsid w:val="00382370"/>
    <w:rsid w:val="00384717"/>
    <w:rsid w:val="003933EA"/>
    <w:rsid w:val="00395A63"/>
    <w:rsid w:val="003A3B02"/>
    <w:rsid w:val="003A5204"/>
    <w:rsid w:val="003A5D10"/>
    <w:rsid w:val="003A5DAA"/>
    <w:rsid w:val="003A6414"/>
    <w:rsid w:val="003A67B3"/>
    <w:rsid w:val="003B0934"/>
    <w:rsid w:val="003B7BEA"/>
    <w:rsid w:val="003C487E"/>
    <w:rsid w:val="003C7B4F"/>
    <w:rsid w:val="003D3CCA"/>
    <w:rsid w:val="003D6E2E"/>
    <w:rsid w:val="003E092C"/>
    <w:rsid w:val="003E0E56"/>
    <w:rsid w:val="003E17F6"/>
    <w:rsid w:val="003E2CF7"/>
    <w:rsid w:val="003E2FDD"/>
    <w:rsid w:val="003E41ED"/>
    <w:rsid w:val="003F0DC2"/>
    <w:rsid w:val="003F4566"/>
    <w:rsid w:val="004001BE"/>
    <w:rsid w:val="00417D1B"/>
    <w:rsid w:val="004201DE"/>
    <w:rsid w:val="00420684"/>
    <w:rsid w:val="00425A9F"/>
    <w:rsid w:val="0042619D"/>
    <w:rsid w:val="00426FE6"/>
    <w:rsid w:val="00435E74"/>
    <w:rsid w:val="00440524"/>
    <w:rsid w:val="004410A2"/>
    <w:rsid w:val="0046202F"/>
    <w:rsid w:val="004637C4"/>
    <w:rsid w:val="004679D1"/>
    <w:rsid w:val="0047390A"/>
    <w:rsid w:val="0048570B"/>
    <w:rsid w:val="0048590C"/>
    <w:rsid w:val="00491EED"/>
    <w:rsid w:val="004933FA"/>
    <w:rsid w:val="004A3B83"/>
    <w:rsid w:val="004A50FC"/>
    <w:rsid w:val="004B440C"/>
    <w:rsid w:val="004B67B9"/>
    <w:rsid w:val="004C36B8"/>
    <w:rsid w:val="004C5624"/>
    <w:rsid w:val="004C7E0F"/>
    <w:rsid w:val="004D058C"/>
    <w:rsid w:val="004D063C"/>
    <w:rsid w:val="004D7C03"/>
    <w:rsid w:val="004E518A"/>
    <w:rsid w:val="004E7B13"/>
    <w:rsid w:val="004F3934"/>
    <w:rsid w:val="005242A1"/>
    <w:rsid w:val="00551537"/>
    <w:rsid w:val="00552EE8"/>
    <w:rsid w:val="00553539"/>
    <w:rsid w:val="0055641E"/>
    <w:rsid w:val="00557D95"/>
    <w:rsid w:val="00564F70"/>
    <w:rsid w:val="005707E1"/>
    <w:rsid w:val="005756E5"/>
    <w:rsid w:val="0058041A"/>
    <w:rsid w:val="00580C3E"/>
    <w:rsid w:val="00581BB1"/>
    <w:rsid w:val="00583C0B"/>
    <w:rsid w:val="00587FF2"/>
    <w:rsid w:val="005916E0"/>
    <w:rsid w:val="005935EE"/>
    <w:rsid w:val="00593C11"/>
    <w:rsid w:val="005B6A50"/>
    <w:rsid w:val="005F4570"/>
    <w:rsid w:val="005F73F1"/>
    <w:rsid w:val="00600053"/>
    <w:rsid w:val="006011A5"/>
    <w:rsid w:val="00601488"/>
    <w:rsid w:val="00626440"/>
    <w:rsid w:val="006343F9"/>
    <w:rsid w:val="0063542D"/>
    <w:rsid w:val="00637780"/>
    <w:rsid w:val="0064432E"/>
    <w:rsid w:val="00646792"/>
    <w:rsid w:val="00647917"/>
    <w:rsid w:val="00650DCD"/>
    <w:rsid w:val="00651B0A"/>
    <w:rsid w:val="00651D7D"/>
    <w:rsid w:val="00656EAD"/>
    <w:rsid w:val="00662826"/>
    <w:rsid w:val="006640F2"/>
    <w:rsid w:val="006662BF"/>
    <w:rsid w:val="00671187"/>
    <w:rsid w:val="00677584"/>
    <w:rsid w:val="006967D8"/>
    <w:rsid w:val="00696D49"/>
    <w:rsid w:val="006A14AE"/>
    <w:rsid w:val="006A35A8"/>
    <w:rsid w:val="006A4A98"/>
    <w:rsid w:val="006A6830"/>
    <w:rsid w:val="006C0D03"/>
    <w:rsid w:val="006C28E4"/>
    <w:rsid w:val="006C57B3"/>
    <w:rsid w:val="006C6306"/>
    <w:rsid w:val="006D1B76"/>
    <w:rsid w:val="006E7328"/>
    <w:rsid w:val="006F0F67"/>
    <w:rsid w:val="006F1FCD"/>
    <w:rsid w:val="006F2A77"/>
    <w:rsid w:val="006F4C7A"/>
    <w:rsid w:val="006F6BD7"/>
    <w:rsid w:val="00702A36"/>
    <w:rsid w:val="00703A88"/>
    <w:rsid w:val="00712C8F"/>
    <w:rsid w:val="00724346"/>
    <w:rsid w:val="0072464C"/>
    <w:rsid w:val="00726035"/>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7BFC"/>
    <w:rsid w:val="007A3529"/>
    <w:rsid w:val="007A7A52"/>
    <w:rsid w:val="007A7C30"/>
    <w:rsid w:val="007B1ABF"/>
    <w:rsid w:val="007B42A3"/>
    <w:rsid w:val="007B67DE"/>
    <w:rsid w:val="007C008D"/>
    <w:rsid w:val="007C3F91"/>
    <w:rsid w:val="007C4527"/>
    <w:rsid w:val="007C5FEE"/>
    <w:rsid w:val="007C7494"/>
    <w:rsid w:val="007D7C0B"/>
    <w:rsid w:val="007E15CA"/>
    <w:rsid w:val="007E1D3E"/>
    <w:rsid w:val="007E7C1F"/>
    <w:rsid w:val="007F00D9"/>
    <w:rsid w:val="007F1015"/>
    <w:rsid w:val="007F3ED9"/>
    <w:rsid w:val="008015FA"/>
    <w:rsid w:val="00804565"/>
    <w:rsid w:val="00804D0D"/>
    <w:rsid w:val="00823268"/>
    <w:rsid w:val="0082392E"/>
    <w:rsid w:val="008420DF"/>
    <w:rsid w:val="00843839"/>
    <w:rsid w:val="008460BD"/>
    <w:rsid w:val="00846938"/>
    <w:rsid w:val="008475D2"/>
    <w:rsid w:val="00850212"/>
    <w:rsid w:val="00850CFB"/>
    <w:rsid w:val="00851E97"/>
    <w:rsid w:val="00853FF9"/>
    <w:rsid w:val="008545CB"/>
    <w:rsid w:val="008638F0"/>
    <w:rsid w:val="00864609"/>
    <w:rsid w:val="00867AB0"/>
    <w:rsid w:val="00871E94"/>
    <w:rsid w:val="00875143"/>
    <w:rsid w:val="008779A1"/>
    <w:rsid w:val="00877CB6"/>
    <w:rsid w:val="008838A3"/>
    <w:rsid w:val="008909F9"/>
    <w:rsid w:val="008A68CB"/>
    <w:rsid w:val="008B396B"/>
    <w:rsid w:val="008C01B9"/>
    <w:rsid w:val="008C3BB1"/>
    <w:rsid w:val="008C5312"/>
    <w:rsid w:val="008C686F"/>
    <w:rsid w:val="008D2412"/>
    <w:rsid w:val="008D389C"/>
    <w:rsid w:val="008D6E3E"/>
    <w:rsid w:val="008E0231"/>
    <w:rsid w:val="008E4D4B"/>
    <w:rsid w:val="008E7EDD"/>
    <w:rsid w:val="008F2423"/>
    <w:rsid w:val="008F2C43"/>
    <w:rsid w:val="008F5FAF"/>
    <w:rsid w:val="008F6B99"/>
    <w:rsid w:val="0092044C"/>
    <w:rsid w:val="00922D81"/>
    <w:rsid w:val="00931D5C"/>
    <w:rsid w:val="00933F8E"/>
    <w:rsid w:val="009370FD"/>
    <w:rsid w:val="00942459"/>
    <w:rsid w:val="00943867"/>
    <w:rsid w:val="00944640"/>
    <w:rsid w:val="009554C5"/>
    <w:rsid w:val="00965756"/>
    <w:rsid w:val="00965FBF"/>
    <w:rsid w:val="009721BF"/>
    <w:rsid w:val="00975D20"/>
    <w:rsid w:val="00977449"/>
    <w:rsid w:val="00982067"/>
    <w:rsid w:val="00992D32"/>
    <w:rsid w:val="0099436E"/>
    <w:rsid w:val="009958FB"/>
    <w:rsid w:val="009A399F"/>
    <w:rsid w:val="009A680E"/>
    <w:rsid w:val="009B3236"/>
    <w:rsid w:val="009B416D"/>
    <w:rsid w:val="009B4EA4"/>
    <w:rsid w:val="009B6C73"/>
    <w:rsid w:val="009C3FC0"/>
    <w:rsid w:val="009D2656"/>
    <w:rsid w:val="009D3DC1"/>
    <w:rsid w:val="009D489C"/>
    <w:rsid w:val="009D4D4B"/>
    <w:rsid w:val="009E29B7"/>
    <w:rsid w:val="009E43C0"/>
    <w:rsid w:val="009F1E09"/>
    <w:rsid w:val="009F3939"/>
    <w:rsid w:val="009F4501"/>
    <w:rsid w:val="00A02B44"/>
    <w:rsid w:val="00A033E3"/>
    <w:rsid w:val="00A04592"/>
    <w:rsid w:val="00A10222"/>
    <w:rsid w:val="00A12653"/>
    <w:rsid w:val="00A14AA7"/>
    <w:rsid w:val="00A218C3"/>
    <w:rsid w:val="00A3042F"/>
    <w:rsid w:val="00A4584B"/>
    <w:rsid w:val="00A54887"/>
    <w:rsid w:val="00A61320"/>
    <w:rsid w:val="00A70922"/>
    <w:rsid w:val="00A7212A"/>
    <w:rsid w:val="00A72E19"/>
    <w:rsid w:val="00A737DD"/>
    <w:rsid w:val="00A77991"/>
    <w:rsid w:val="00A823B3"/>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728C6"/>
    <w:rsid w:val="00B80233"/>
    <w:rsid w:val="00B853A1"/>
    <w:rsid w:val="00B8637B"/>
    <w:rsid w:val="00B925F1"/>
    <w:rsid w:val="00BA1FD5"/>
    <w:rsid w:val="00BA5AE8"/>
    <w:rsid w:val="00BA7C68"/>
    <w:rsid w:val="00BC0496"/>
    <w:rsid w:val="00BC252B"/>
    <w:rsid w:val="00BC25FE"/>
    <w:rsid w:val="00BD5A05"/>
    <w:rsid w:val="00BD65AB"/>
    <w:rsid w:val="00BE021D"/>
    <w:rsid w:val="00BE219C"/>
    <w:rsid w:val="00BE3C5E"/>
    <w:rsid w:val="00BE6869"/>
    <w:rsid w:val="00BF2618"/>
    <w:rsid w:val="00BF4E01"/>
    <w:rsid w:val="00C042BD"/>
    <w:rsid w:val="00C13F01"/>
    <w:rsid w:val="00C17260"/>
    <w:rsid w:val="00C2149E"/>
    <w:rsid w:val="00C30CD4"/>
    <w:rsid w:val="00C4191B"/>
    <w:rsid w:val="00C42412"/>
    <w:rsid w:val="00C467D8"/>
    <w:rsid w:val="00C51C35"/>
    <w:rsid w:val="00C57124"/>
    <w:rsid w:val="00C63896"/>
    <w:rsid w:val="00C65C4E"/>
    <w:rsid w:val="00C6663F"/>
    <w:rsid w:val="00C70C83"/>
    <w:rsid w:val="00C71F7B"/>
    <w:rsid w:val="00C756FF"/>
    <w:rsid w:val="00C85F9D"/>
    <w:rsid w:val="00C91C49"/>
    <w:rsid w:val="00C92AC7"/>
    <w:rsid w:val="00C93C5B"/>
    <w:rsid w:val="00C97DC7"/>
    <w:rsid w:val="00CA3570"/>
    <w:rsid w:val="00CA5D1D"/>
    <w:rsid w:val="00CA70AC"/>
    <w:rsid w:val="00CC0713"/>
    <w:rsid w:val="00CD00F8"/>
    <w:rsid w:val="00CF0956"/>
    <w:rsid w:val="00CF2D93"/>
    <w:rsid w:val="00CF78F5"/>
    <w:rsid w:val="00D057A9"/>
    <w:rsid w:val="00D13BF8"/>
    <w:rsid w:val="00D237EF"/>
    <w:rsid w:val="00D26A53"/>
    <w:rsid w:val="00D31A3A"/>
    <w:rsid w:val="00D4012B"/>
    <w:rsid w:val="00D527CD"/>
    <w:rsid w:val="00D5503F"/>
    <w:rsid w:val="00D63E72"/>
    <w:rsid w:val="00D63EE8"/>
    <w:rsid w:val="00D72C12"/>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C7BE3"/>
    <w:rsid w:val="00DD35FA"/>
    <w:rsid w:val="00DD4C46"/>
    <w:rsid w:val="00DD7830"/>
    <w:rsid w:val="00DE0E65"/>
    <w:rsid w:val="00DE56B5"/>
    <w:rsid w:val="00E00E3A"/>
    <w:rsid w:val="00E0127A"/>
    <w:rsid w:val="00E01362"/>
    <w:rsid w:val="00E02CD7"/>
    <w:rsid w:val="00E060DE"/>
    <w:rsid w:val="00E107B8"/>
    <w:rsid w:val="00E23543"/>
    <w:rsid w:val="00E26539"/>
    <w:rsid w:val="00E30792"/>
    <w:rsid w:val="00E3702C"/>
    <w:rsid w:val="00E40C91"/>
    <w:rsid w:val="00E42EA0"/>
    <w:rsid w:val="00E4312B"/>
    <w:rsid w:val="00E50650"/>
    <w:rsid w:val="00E554F0"/>
    <w:rsid w:val="00E5550E"/>
    <w:rsid w:val="00E60478"/>
    <w:rsid w:val="00E61252"/>
    <w:rsid w:val="00E628FB"/>
    <w:rsid w:val="00E643BD"/>
    <w:rsid w:val="00E80EBF"/>
    <w:rsid w:val="00E81039"/>
    <w:rsid w:val="00E8139C"/>
    <w:rsid w:val="00E83330"/>
    <w:rsid w:val="00E9084E"/>
    <w:rsid w:val="00E95B97"/>
    <w:rsid w:val="00EA1560"/>
    <w:rsid w:val="00EA73D1"/>
    <w:rsid w:val="00EB3DC1"/>
    <w:rsid w:val="00EC1E8D"/>
    <w:rsid w:val="00EC42C8"/>
    <w:rsid w:val="00EC5BB9"/>
    <w:rsid w:val="00EC677A"/>
    <w:rsid w:val="00ED543A"/>
    <w:rsid w:val="00ED6ADD"/>
    <w:rsid w:val="00EE0684"/>
    <w:rsid w:val="00EE4403"/>
    <w:rsid w:val="00EE4427"/>
    <w:rsid w:val="00EE46B4"/>
    <w:rsid w:val="00EE7329"/>
    <w:rsid w:val="00EE7E66"/>
    <w:rsid w:val="00EF0C3B"/>
    <w:rsid w:val="00F0221D"/>
    <w:rsid w:val="00F07A38"/>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4748"/>
    <w:rsid w:val="00F857BF"/>
    <w:rsid w:val="00F90F8E"/>
    <w:rsid w:val="00F937DD"/>
    <w:rsid w:val="00F949EE"/>
    <w:rsid w:val="00FA384F"/>
    <w:rsid w:val="00FA4E10"/>
    <w:rsid w:val="00FA624A"/>
    <w:rsid w:val="00FB2EDC"/>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
    <w:basedOn w:val="Domylnaczcionkaakapitu"/>
    <w:uiPriority w:val="99"/>
    <w:locked/>
    <w:rsid w:val="00D63E72"/>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8D439-B947-4242-8781-624B389D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5832</Words>
  <Characters>34996</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17</cp:revision>
  <cp:lastPrinted>2017-11-16T08:58:00Z</cp:lastPrinted>
  <dcterms:created xsi:type="dcterms:W3CDTF">2017-10-02T12:14:00Z</dcterms:created>
  <dcterms:modified xsi:type="dcterms:W3CDTF">2017-11-16T09:24:00Z</dcterms:modified>
</cp:coreProperties>
</file>